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63C2D" w14:textId="318C6AB8" w:rsidR="00FB08B8" w:rsidRDefault="00DE00FB">
      <w:pPr>
        <w:pStyle w:val="Header"/>
        <w:tabs>
          <w:tab w:val="right" w:pos="5954"/>
        </w:tabs>
        <w:spacing w:after="240"/>
        <w:ind w:firstLineChars="1600" w:firstLine="3855"/>
        <w:jc w:val="right"/>
        <w:rPr>
          <w:rFonts w:ascii="Calibri" w:hAnsi="Calibri"/>
          <w:b/>
          <w:bCs/>
          <w:color w:val="00558C"/>
          <w:sz w:val="24"/>
          <w:szCs w:val="24"/>
        </w:rPr>
      </w:pPr>
      <w:r>
        <w:rPr>
          <w:rFonts w:ascii="Calibri" w:eastAsia="SimSun" w:hAnsi="Calibri" w:hint="eastAsia"/>
          <w:b/>
          <w:bCs/>
          <w:color w:val="00558C"/>
          <w:sz w:val="24"/>
          <w:szCs w:val="24"/>
          <w:lang w:val="en-US" w:eastAsia="zh-CN"/>
        </w:rPr>
        <w:t xml:space="preserve">                                                                      </w:t>
      </w:r>
      <w:r>
        <w:rPr>
          <w:rFonts w:ascii="Calibri" w:hAnsi="Calibri"/>
          <w:b/>
          <w:bCs/>
          <w:color w:val="00558C"/>
          <w:sz w:val="24"/>
          <w:szCs w:val="24"/>
        </w:rPr>
        <w:t xml:space="preserve">Input paper: </w:t>
      </w:r>
      <w:r>
        <w:rPr>
          <w:rStyle w:val="FootnoteReference"/>
          <w:rFonts w:ascii="Calibri" w:hAnsi="Calibri"/>
          <w:b/>
          <w:bCs/>
          <w:color w:val="00558C"/>
          <w:sz w:val="24"/>
          <w:szCs w:val="24"/>
        </w:rPr>
        <w:footnoteReference w:id="1"/>
      </w:r>
      <w:r>
        <w:rPr>
          <w:rFonts w:ascii="Calibri" w:hAnsi="Calibri"/>
          <w:b/>
          <w:bCs/>
          <w:color w:val="00558C"/>
          <w:sz w:val="24"/>
          <w:szCs w:val="24"/>
        </w:rPr>
        <w:t xml:space="preserve">  </w:t>
      </w:r>
      <w:r>
        <w:rPr>
          <w:rFonts w:ascii="Calibri" w:eastAsia="SimSun" w:hAnsi="Calibri" w:hint="eastAsia"/>
          <w:b/>
          <w:bCs/>
          <w:color w:val="00558C"/>
          <w:sz w:val="24"/>
          <w:szCs w:val="24"/>
          <w:lang w:val="en-US" w:eastAsia="zh-CN"/>
        </w:rPr>
        <w:t>ARM22</w:t>
      </w:r>
      <w:r>
        <w:rPr>
          <w:rFonts w:ascii="Calibri" w:hAnsi="Calibri"/>
          <w:color w:val="00558C"/>
          <w:sz w:val="24"/>
          <w:szCs w:val="24"/>
        </w:rPr>
        <w:t>-</w:t>
      </w:r>
      <w:r w:rsidR="008602C8">
        <w:rPr>
          <w:rFonts w:ascii="Calibri" w:hAnsi="Calibri"/>
          <w:color w:val="00558C"/>
          <w:sz w:val="24"/>
          <w:szCs w:val="24"/>
        </w:rPr>
        <w:t>7.4.2</w:t>
      </w:r>
    </w:p>
    <w:p w14:paraId="3BB63C2E" w14:textId="77777777" w:rsidR="00FB08B8" w:rsidRDefault="00FB08B8">
      <w:pPr>
        <w:pStyle w:val="BodyText"/>
        <w:tabs>
          <w:tab w:val="left" w:pos="2835"/>
        </w:tabs>
        <w:rPr>
          <w:rFonts w:ascii="Calibri" w:hAnsi="Calibri"/>
        </w:rPr>
      </w:pPr>
    </w:p>
    <w:p w14:paraId="3BB63C2F" w14:textId="77777777" w:rsidR="00FB08B8" w:rsidRDefault="00DE00FB">
      <w:pPr>
        <w:pStyle w:val="BodyText"/>
        <w:tabs>
          <w:tab w:val="left" w:pos="2835"/>
        </w:tabs>
        <w:spacing w:after="0"/>
        <w:rPr>
          <w:rFonts w:ascii="Calibri" w:hAnsi="Calibri"/>
          <w:b/>
          <w:bCs/>
          <w:color w:val="00558C"/>
          <w:sz w:val="24"/>
          <w:szCs w:val="24"/>
        </w:rPr>
      </w:pPr>
      <w:r>
        <w:rPr>
          <w:rFonts w:ascii="Calibri" w:hAnsi="Calibri"/>
          <w:b/>
          <w:bCs/>
          <w:color w:val="00558C"/>
          <w:sz w:val="24"/>
          <w:szCs w:val="24"/>
        </w:rPr>
        <w:t>Input paper for the following Committee(s):</w:t>
      </w:r>
      <w:r>
        <w:rPr>
          <w:rFonts w:ascii="Calibri" w:hAnsi="Calibri"/>
          <w:color w:val="00558C"/>
        </w:rPr>
        <w:t xml:space="preserve"> </w:t>
      </w:r>
      <w:r>
        <w:rPr>
          <w:rFonts w:ascii="Calibri" w:hAnsi="Calibri"/>
        </w:rPr>
        <w:tab/>
      </w:r>
      <w:r>
        <w:rPr>
          <w:rFonts w:ascii="Calibri" w:hAnsi="Calibri"/>
        </w:rPr>
        <w:tab/>
      </w:r>
      <w:r>
        <w:rPr>
          <w:rFonts w:ascii="Calibri" w:hAnsi="Calibri"/>
          <w:b/>
          <w:bCs/>
          <w:color w:val="00558C"/>
          <w:sz w:val="24"/>
          <w:szCs w:val="24"/>
        </w:rPr>
        <w:t>Purpose of paper:</w:t>
      </w:r>
    </w:p>
    <w:p w14:paraId="3BB63C30" w14:textId="77777777" w:rsidR="00FB08B8" w:rsidRDefault="00DE00FB">
      <w:pPr>
        <w:pStyle w:val="BodyText"/>
        <w:tabs>
          <w:tab w:val="left" w:pos="2835"/>
        </w:tabs>
        <w:rPr>
          <w:rFonts w:ascii="Calibri" w:hAnsi="Calibri"/>
        </w:rPr>
      </w:pPr>
      <w:r>
        <w:rPr>
          <w:rFonts w:ascii="Calibri" w:hAnsi="Calibri"/>
          <w:sz w:val="18"/>
          <w:szCs w:val="18"/>
        </w:rPr>
        <w:t>(Select as appropriate)</w:t>
      </w:r>
      <w:r>
        <w:rPr>
          <w:rFonts w:ascii="Calibri" w:hAnsi="Calibri"/>
          <w:sz w:val="18"/>
          <w:szCs w:val="18"/>
        </w:rPr>
        <w:tab/>
      </w:r>
    </w:p>
    <w:p w14:paraId="3BB63C31" w14:textId="77777777" w:rsidR="00FB08B8" w:rsidRDefault="00DE00FB">
      <w:pPr>
        <w:pStyle w:val="BodyText"/>
        <w:tabs>
          <w:tab w:val="left" w:pos="1843"/>
        </w:tabs>
        <w:rPr>
          <w:rFonts w:ascii="Calibri" w:hAnsi="Calibri" w:cs="Arial"/>
          <w:b/>
        </w:rPr>
      </w:pPr>
      <w:sdt>
        <w:sdtPr>
          <w:rPr>
            <w:rFonts w:ascii="Calibri" w:hAnsi="Calibri" w:cs="Arial"/>
            <w:b/>
            <w:sz w:val="24"/>
            <w:szCs w:val="24"/>
          </w:rPr>
          <w:id w:val="-2075572951"/>
          <w14:checkbox>
            <w14:checked w14:val="1"/>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ascii="Calibri" w:hAnsi="Calibri" w:cs="Arial"/>
          <w:sz w:val="24"/>
          <w:szCs w:val="24"/>
        </w:rPr>
        <w:t xml:space="preserve"> </w:t>
      </w:r>
      <w:r>
        <w:rPr>
          <w:rFonts w:ascii="Calibri" w:hAnsi="Calibri" w:cs="Arial"/>
        </w:rPr>
        <w:t>ARM</w:t>
      </w:r>
      <w:r>
        <w:rPr>
          <w:rFonts w:ascii="Calibri" w:hAnsi="Calibri" w:cs="Arial"/>
        </w:rPr>
        <w:tab/>
      </w:r>
      <w:sdt>
        <w:sdtPr>
          <w:rPr>
            <w:rFonts w:ascii="Calibri" w:hAnsi="Calibri" w:cs="Arial"/>
            <w:b/>
            <w:sz w:val="24"/>
            <w:szCs w:val="24"/>
          </w:rPr>
          <w:id w:val="1103151903"/>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ascii="Calibri" w:hAnsi="Calibri" w:cs="Arial"/>
          <w:sz w:val="24"/>
          <w:szCs w:val="24"/>
        </w:rPr>
        <w:t xml:space="preserve">  </w:t>
      </w:r>
      <w:r>
        <w:rPr>
          <w:rFonts w:ascii="Calibri" w:hAnsi="Calibri" w:cs="Arial"/>
        </w:rPr>
        <w:t>ENG</w:t>
      </w:r>
      <w:r>
        <w:rPr>
          <w:rFonts w:ascii="Calibri" w:hAnsi="Calibri" w:cs="Arial"/>
        </w:rPr>
        <w:tab/>
      </w:r>
      <w:r>
        <w:rPr>
          <w:rFonts w:ascii="Calibri" w:hAnsi="Calibri" w:cs="Arial"/>
        </w:rPr>
        <w:tab/>
      </w:r>
      <w:bookmarkStart w:id="0" w:name="_Hlk81060441"/>
      <w:sdt>
        <w:sdtPr>
          <w:rPr>
            <w:rFonts w:ascii="Calibri" w:hAnsi="Calibri" w:cs="Arial"/>
            <w:b/>
            <w:sz w:val="24"/>
            <w:szCs w:val="24"/>
          </w:rPr>
          <w:id w:val="-363756475"/>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ascii="Calibri" w:hAnsi="Calibri" w:cs="Arial"/>
          <w:sz w:val="24"/>
          <w:szCs w:val="24"/>
        </w:rPr>
        <w:t xml:space="preserve"> </w:t>
      </w:r>
      <w:bookmarkEnd w:id="0"/>
      <w:r>
        <w:rPr>
          <w:rFonts w:ascii="Calibri" w:hAnsi="Calibri" w:cs="Arial"/>
        </w:rPr>
        <w:t>PAP</w:t>
      </w:r>
      <w:r>
        <w:rPr>
          <w:rFonts w:ascii="Calibri" w:hAnsi="Calibri" w:cs="Arial"/>
          <w:sz w:val="24"/>
          <w:szCs w:val="24"/>
        </w:rPr>
        <w:tab/>
      </w:r>
      <w:r>
        <w:rPr>
          <w:rFonts w:ascii="Calibri" w:hAnsi="Calibri" w:cs="Arial"/>
          <w:sz w:val="24"/>
          <w:szCs w:val="24"/>
        </w:rPr>
        <w:tab/>
      </w:r>
      <w:r>
        <w:rPr>
          <w:rFonts w:ascii="Calibri" w:hAnsi="Calibri" w:cs="Arial"/>
          <w:sz w:val="24"/>
          <w:szCs w:val="24"/>
        </w:rPr>
        <w:tab/>
      </w:r>
      <w:sdt>
        <w:sdtPr>
          <w:rPr>
            <w:rFonts w:ascii="Calibri" w:hAnsi="Calibri" w:cs="Arial"/>
            <w:b/>
            <w:sz w:val="24"/>
            <w:szCs w:val="24"/>
          </w:rPr>
          <w:id w:val="-1999726360"/>
          <w14:checkbox>
            <w14:checked w14:val="1"/>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ascii="Calibri" w:hAnsi="Calibri" w:cs="Arial"/>
          <w:sz w:val="24"/>
          <w:szCs w:val="24"/>
        </w:rPr>
        <w:t xml:space="preserve"> </w:t>
      </w:r>
      <w:r>
        <w:rPr>
          <w:rFonts w:ascii="Calibri" w:hAnsi="Calibri" w:cs="Arial"/>
        </w:rPr>
        <w:t>Input</w:t>
      </w:r>
    </w:p>
    <w:p w14:paraId="3BB63C32" w14:textId="77777777" w:rsidR="00FB08B8" w:rsidRDefault="00DE00FB">
      <w:pPr>
        <w:pStyle w:val="BodyText"/>
        <w:tabs>
          <w:tab w:val="left" w:pos="1843"/>
        </w:tabs>
        <w:rPr>
          <w:rFonts w:ascii="Calibri" w:hAnsi="Calibri"/>
        </w:rPr>
      </w:pPr>
      <w:sdt>
        <w:sdtPr>
          <w:rPr>
            <w:rFonts w:ascii="Calibri" w:hAnsi="Calibri" w:cs="Arial"/>
            <w:b/>
          </w:rPr>
          <w:id w:val="1358232040"/>
          <w14:checkbox>
            <w14:checked w14:val="0"/>
            <w14:checkedState w14:val="2612" w14:font="MS Gothic"/>
            <w14:uncheckedState w14:val="2610" w14:font="MS Gothic"/>
          </w14:checkbox>
        </w:sdtPr>
        <w:sdtEndPr/>
        <w:sdtContent>
          <w:r>
            <w:rPr>
              <w:rFonts w:ascii="MS Gothic" w:eastAsia="MS Gothic" w:hAnsi="MS Gothic" w:cs="Arial" w:hint="eastAsia"/>
              <w:b/>
            </w:rPr>
            <w:t>☐</w:t>
          </w:r>
        </w:sdtContent>
      </w:sdt>
      <w:r>
        <w:rPr>
          <w:rFonts w:ascii="Calibri" w:hAnsi="Calibri" w:cs="Arial"/>
        </w:rPr>
        <w:t xml:space="preserve"> </w:t>
      </w:r>
      <w:r>
        <w:rPr>
          <w:rFonts w:ascii="Calibri" w:eastAsia="SimSun" w:hAnsi="Calibri" w:cs="Arial" w:hint="eastAsia"/>
          <w:lang w:val="en-US" w:eastAsia="zh-CN"/>
        </w:rPr>
        <w:t>DTEC</w:t>
      </w:r>
      <w:r>
        <w:rPr>
          <w:rFonts w:ascii="Calibri" w:hAnsi="Calibri" w:cs="Arial"/>
          <w:b/>
        </w:rPr>
        <w:tab/>
      </w:r>
      <w:sdt>
        <w:sdtPr>
          <w:rPr>
            <w:rFonts w:ascii="Calibri" w:hAnsi="Calibri" w:cs="Arial"/>
            <w:b/>
          </w:rPr>
          <w:id w:val="1574472571"/>
          <w14:checkbox>
            <w14:checked w14:val="0"/>
            <w14:checkedState w14:val="2612" w14:font="MS Gothic"/>
            <w14:uncheckedState w14:val="2610" w14:font="MS Gothic"/>
          </w14:checkbox>
        </w:sdtPr>
        <w:sdtEndPr/>
        <w:sdtContent>
          <w:r>
            <w:rPr>
              <w:rFonts w:ascii="MS Gothic" w:eastAsia="MS Gothic" w:hAnsi="MS Gothic" w:cs="Arial" w:hint="eastAsia"/>
              <w:b/>
            </w:rPr>
            <w:t>☐</w:t>
          </w:r>
        </w:sdtContent>
      </w:sdt>
      <w:r>
        <w:rPr>
          <w:rFonts w:ascii="Calibri" w:hAnsi="Calibri" w:cs="Arial"/>
        </w:rPr>
        <w:t xml:space="preserve"> VTS</w:t>
      </w:r>
      <w:r>
        <w:rPr>
          <w:rFonts w:ascii="Calibri" w:hAnsi="Calibri" w:cs="Arial"/>
        </w:rPr>
        <w:tab/>
      </w:r>
      <w:r>
        <w:rPr>
          <w:rFonts w:ascii="Calibri" w:hAnsi="Calibri" w:cs="Arial"/>
        </w:rPr>
        <w:tab/>
      </w:r>
      <w:r>
        <w:rPr>
          <w:rFonts w:ascii="Calibri" w:hAnsi="Calibri" w:cs="Arial"/>
        </w:rPr>
        <w:tab/>
      </w:r>
      <w:r>
        <w:rPr>
          <w:rFonts w:ascii="Calibri" w:hAnsi="Calibri" w:cs="Arial"/>
        </w:rPr>
        <w:tab/>
      </w:r>
      <w:r>
        <w:rPr>
          <w:rFonts w:ascii="Calibri" w:hAnsi="Calibri" w:cs="Arial"/>
        </w:rPr>
        <w:tab/>
      </w:r>
      <w:sdt>
        <w:sdtPr>
          <w:rPr>
            <w:rFonts w:ascii="Calibri" w:hAnsi="Calibri" w:cs="Arial"/>
            <w:b/>
          </w:rPr>
          <w:id w:val="1701977003"/>
          <w14:checkbox>
            <w14:checked w14:val="0"/>
            <w14:checkedState w14:val="2612" w14:font="MS Gothic"/>
            <w14:uncheckedState w14:val="2610" w14:font="MS Gothic"/>
          </w14:checkbox>
        </w:sdtPr>
        <w:sdtEndPr/>
        <w:sdtContent>
          <w:r>
            <w:rPr>
              <w:rFonts w:ascii="MS Gothic" w:eastAsia="MS Gothic" w:hAnsi="MS Gothic" w:cs="Arial" w:hint="eastAsia"/>
              <w:b/>
            </w:rPr>
            <w:t>☐</w:t>
          </w:r>
        </w:sdtContent>
      </w:sdt>
      <w:r>
        <w:rPr>
          <w:rFonts w:ascii="Calibri" w:hAnsi="Calibri" w:cs="Arial"/>
        </w:rPr>
        <w:t xml:space="preserve"> Information</w:t>
      </w:r>
    </w:p>
    <w:p w14:paraId="3BB63C33" w14:textId="77777777" w:rsidR="00FB08B8" w:rsidRDefault="00FB08B8">
      <w:pPr>
        <w:pStyle w:val="BodyText"/>
        <w:tabs>
          <w:tab w:val="left" w:pos="2835"/>
        </w:tabs>
        <w:rPr>
          <w:rFonts w:ascii="Calibri" w:hAnsi="Calibri"/>
        </w:rPr>
      </w:pPr>
    </w:p>
    <w:p w14:paraId="3BB63C34" w14:textId="0AA0091F" w:rsidR="00FB08B8" w:rsidRDefault="00DE00FB">
      <w:pPr>
        <w:pStyle w:val="BodyText"/>
        <w:tabs>
          <w:tab w:val="left" w:pos="2835"/>
        </w:tabs>
        <w:rPr>
          <w:rFonts w:ascii="Calibri" w:hAnsi="Calibri"/>
        </w:rPr>
      </w:pPr>
      <w:r>
        <w:rPr>
          <w:rFonts w:ascii="Calibri" w:hAnsi="Calibri"/>
          <w:b/>
          <w:bCs/>
          <w:color w:val="00558C"/>
          <w:sz w:val="24"/>
          <w:szCs w:val="24"/>
        </w:rPr>
        <w:t>Agenda item</w:t>
      </w:r>
      <w:r>
        <w:rPr>
          <w:rFonts w:ascii="Calibri" w:hAnsi="Calibri"/>
        </w:rPr>
        <w:t xml:space="preserve"> </w:t>
      </w:r>
      <w:r>
        <w:rPr>
          <w:rStyle w:val="FootnoteReference"/>
          <w:rFonts w:ascii="Calibri" w:hAnsi="Calibri"/>
          <w:sz w:val="22"/>
        </w:rPr>
        <w:footnoteReference w:id="2"/>
      </w:r>
      <w:r>
        <w:rPr>
          <w:rFonts w:ascii="Calibri" w:hAnsi="Calibri"/>
        </w:rPr>
        <w:tab/>
      </w:r>
      <w:r>
        <w:rPr>
          <w:rFonts w:ascii="Calibri" w:hAnsi="Calibri"/>
        </w:rPr>
        <w:tab/>
      </w:r>
      <w:r>
        <w:rPr>
          <w:rFonts w:ascii="Calibri" w:hAnsi="Calibri"/>
        </w:rPr>
        <w:tab/>
      </w:r>
      <w:r w:rsidR="008602C8">
        <w:rPr>
          <w:rFonts w:ascii="Calibri" w:hAnsi="Calibri"/>
        </w:rPr>
        <w:t>7.4</w:t>
      </w:r>
    </w:p>
    <w:p w14:paraId="3BB63C35" w14:textId="77777777" w:rsidR="00FB08B8" w:rsidRDefault="00DE00FB">
      <w:pPr>
        <w:pStyle w:val="BodyText"/>
        <w:tabs>
          <w:tab w:val="left" w:pos="2835"/>
        </w:tabs>
        <w:rPr>
          <w:rFonts w:ascii="Calibri" w:eastAsia="SimSun" w:hAnsi="Calibri"/>
          <w:lang w:val="en-US" w:eastAsia="zh-CN"/>
        </w:rPr>
      </w:pPr>
      <w:r>
        <w:rPr>
          <w:rFonts w:ascii="Calibri" w:hAnsi="Calibri"/>
          <w:b/>
          <w:bCs/>
          <w:color w:val="00558C"/>
          <w:sz w:val="24"/>
          <w:szCs w:val="24"/>
        </w:rPr>
        <w:t>Technical domain/ Task number</w:t>
      </w:r>
      <w:r>
        <w:rPr>
          <w:rFonts w:ascii="Calibri" w:hAnsi="Calibri"/>
        </w:rPr>
        <w:t xml:space="preserve"> </w:t>
      </w:r>
      <w:r>
        <w:rPr>
          <w:rFonts w:ascii="Calibri" w:hAnsi="Calibri"/>
          <w:vertAlign w:val="superscript"/>
        </w:rPr>
        <w:t>2</w:t>
      </w:r>
      <w:r>
        <w:rPr>
          <w:rFonts w:ascii="Calibri" w:hAnsi="Calibri"/>
        </w:rPr>
        <w:tab/>
      </w:r>
      <w:r>
        <w:rPr>
          <w:rFonts w:ascii="Calibri" w:eastAsia="SimSun" w:hAnsi="Calibri" w:hint="eastAsia"/>
          <w:lang w:val="en-US" w:eastAsia="zh-CN"/>
        </w:rPr>
        <w:t>7.1.4</w:t>
      </w:r>
    </w:p>
    <w:p w14:paraId="3BB63C36" w14:textId="77777777" w:rsidR="00FB08B8" w:rsidRDefault="00DE00FB">
      <w:pPr>
        <w:pStyle w:val="BodyText"/>
        <w:tabs>
          <w:tab w:val="left" w:pos="2835"/>
        </w:tabs>
        <w:rPr>
          <w:rFonts w:ascii="Calibri" w:eastAsia="SimSun" w:hAnsi="Calibri"/>
          <w:color w:val="FF0000"/>
          <w:lang w:val="en-US" w:eastAsia="zh-CN"/>
        </w:rPr>
      </w:pPr>
      <w:r>
        <w:rPr>
          <w:rFonts w:ascii="Calibri" w:hAnsi="Calibri"/>
          <w:b/>
          <w:bCs/>
          <w:color w:val="00558C"/>
          <w:sz w:val="24"/>
          <w:szCs w:val="24"/>
        </w:rPr>
        <w:t>Author(s)/Submitter(s)</w:t>
      </w:r>
      <w:r>
        <w:rPr>
          <w:rFonts w:ascii="Calibri" w:hAnsi="Calibri"/>
        </w:rPr>
        <w:tab/>
      </w:r>
      <w:r>
        <w:rPr>
          <w:rFonts w:ascii="Calibri" w:hAnsi="Calibri"/>
        </w:rPr>
        <w:tab/>
      </w:r>
      <w:r>
        <w:rPr>
          <w:rFonts w:ascii="Calibri" w:hAnsi="Calibri"/>
        </w:rPr>
        <w:tab/>
      </w:r>
      <w:r>
        <w:rPr>
          <w:rFonts w:ascii="Calibri" w:eastAsia="SimSun" w:hAnsi="Calibri" w:cs="Calibri"/>
          <w:lang w:val="en-US" w:eastAsia="zh-CN"/>
        </w:rPr>
        <w:t xml:space="preserve"> </w:t>
      </w:r>
      <w:r>
        <w:rPr>
          <w:rFonts w:ascii="Calibri" w:eastAsia="SimSun" w:hAnsi="Calibri" w:cs="Calibri" w:hint="eastAsia"/>
          <w:lang w:val="en-US" w:eastAsia="zh-CN"/>
        </w:rPr>
        <w:t>China Maritime Safety Administration (China MSA)</w:t>
      </w:r>
    </w:p>
    <w:p w14:paraId="3BB63C37" w14:textId="77777777" w:rsidR="00FB08B8" w:rsidRDefault="00DE00FB">
      <w:pPr>
        <w:pStyle w:val="BodyText"/>
        <w:tabs>
          <w:tab w:val="left" w:pos="7860"/>
        </w:tabs>
        <w:rPr>
          <w:rFonts w:ascii="Calibri" w:hAnsi="Calibri"/>
        </w:rPr>
      </w:pPr>
      <w:r>
        <w:rPr>
          <w:rFonts w:ascii="Calibri" w:hAnsi="Calibri"/>
        </w:rPr>
        <w:tab/>
      </w:r>
    </w:p>
    <w:p w14:paraId="3BB63C38" w14:textId="77777777" w:rsidR="00FB08B8" w:rsidRDefault="00DE00FB">
      <w:pPr>
        <w:pStyle w:val="Title"/>
      </w:pPr>
      <w:r>
        <w:rPr>
          <w:rFonts w:hint="eastAsia"/>
        </w:rPr>
        <w:t>Proposals for the Revision and Clarification of IALA S-201</w:t>
      </w:r>
      <w:r>
        <w:rPr>
          <w:rStyle w:val="FootnoteReference"/>
        </w:rPr>
        <w:footnoteReference w:id="3"/>
      </w:r>
    </w:p>
    <w:p w14:paraId="3BB63C39" w14:textId="77777777" w:rsidR="00FB08B8" w:rsidRDefault="00DE00FB">
      <w:pPr>
        <w:pStyle w:val="Heading1"/>
      </w:pPr>
      <w:r>
        <w:t>Summary</w:t>
      </w:r>
    </w:p>
    <w:p w14:paraId="3BB63C3A" w14:textId="77777777" w:rsidR="00FB08B8" w:rsidRDefault="00DE00FB">
      <w:pPr>
        <w:pStyle w:val="BodyText"/>
        <w:rPr>
          <w:rFonts w:ascii="Calibri" w:hAnsi="Calibri"/>
        </w:rPr>
      </w:pPr>
      <w:r>
        <w:rPr>
          <w:rFonts w:ascii="Calibri" w:hAnsi="Calibri" w:hint="eastAsia"/>
        </w:rPr>
        <w:t xml:space="preserve">IALA has finalized the development of S-201 and released </w:t>
      </w:r>
      <w:r>
        <w:rPr>
          <w:rFonts w:ascii="Calibri" w:hAnsi="Calibri"/>
        </w:rPr>
        <w:t>Version 2.0 of S-201</w:t>
      </w:r>
      <w:r>
        <w:rPr>
          <w:rFonts w:ascii="Calibri" w:hAnsi="Calibri" w:hint="eastAsia"/>
        </w:rPr>
        <w:t xml:space="preserve"> in April 2025. Currently, S-201 has entered the application and testing phase, with the product specification hosted on GitHub to solicit public feedback. During the research and testing of this specification, the China Maritime Safety Administration (MSA) identified several issues and developed corresponding revision recommendations. These are hereby submitted to this meeting for </w:t>
      </w:r>
      <w:r>
        <w:t>deliberation</w:t>
      </w:r>
      <w:r>
        <w:rPr>
          <w:rFonts w:ascii="Calibri" w:hAnsi="Calibri" w:hint="eastAsia"/>
        </w:rPr>
        <w:t>, and the relevant comments will also be submitted to GitHub for further consultation.</w:t>
      </w:r>
    </w:p>
    <w:p w14:paraId="3BB63C3B" w14:textId="77777777" w:rsidR="00FB08B8" w:rsidRDefault="00DE00FB">
      <w:pPr>
        <w:pStyle w:val="Heading2"/>
      </w:pPr>
      <w:r>
        <w:t>Purpose of the document</w:t>
      </w:r>
    </w:p>
    <w:p w14:paraId="3BB63C3C" w14:textId="77777777" w:rsidR="00FB08B8" w:rsidRDefault="00DE00FB">
      <w:pPr>
        <w:pStyle w:val="BodyText"/>
        <w:rPr>
          <w:rFonts w:ascii="Calibri" w:hAnsi="Calibri"/>
        </w:rPr>
      </w:pPr>
      <w:r>
        <w:rPr>
          <w:rFonts w:ascii="Calibri" w:hAnsi="Calibri" w:hint="eastAsia"/>
        </w:rPr>
        <w:t xml:space="preserve">This proposal aims to </w:t>
      </w:r>
      <w:r>
        <w:rPr>
          <w:rFonts w:ascii="Calibri" w:hAnsi="Calibri"/>
        </w:rPr>
        <w:t xml:space="preserve">revise and </w:t>
      </w:r>
      <w:r>
        <w:rPr>
          <w:rFonts w:ascii="Calibri" w:hAnsi="Calibri" w:hint="eastAsia"/>
        </w:rPr>
        <w:t xml:space="preserve">improve the IALA S-201 Product Specification, clarify </w:t>
      </w:r>
      <w:r>
        <w:t xml:space="preserve">and standardize </w:t>
      </w:r>
      <w:r>
        <w:rPr>
          <w:rFonts w:ascii="Calibri" w:hAnsi="Calibri" w:hint="eastAsia"/>
        </w:rPr>
        <w:t xml:space="preserve">technical details </w:t>
      </w:r>
      <w:r>
        <w:rPr>
          <w:rFonts w:ascii="Calibri" w:hAnsi="Calibri"/>
        </w:rPr>
        <w:t>in</w:t>
      </w:r>
      <w:r>
        <w:rPr>
          <w:rFonts w:ascii="Calibri" w:hAnsi="Calibri" w:hint="eastAsia"/>
        </w:rPr>
        <w:t xml:space="preserve"> the document, and provide a reference for the Committee</w:t>
      </w:r>
      <w:r>
        <w:t xml:space="preserve"> in carrying out standard revision work</w:t>
      </w:r>
      <w:r>
        <w:rPr>
          <w:rFonts w:ascii="Calibri" w:hAnsi="Calibri" w:hint="eastAsia"/>
        </w:rPr>
        <w:t>.</w:t>
      </w:r>
    </w:p>
    <w:p w14:paraId="3BB63C3D" w14:textId="77777777" w:rsidR="00FB08B8" w:rsidRDefault="00DE00FB">
      <w:pPr>
        <w:pStyle w:val="Heading2"/>
      </w:pPr>
      <w:r>
        <w:t>Related documents</w:t>
      </w:r>
    </w:p>
    <w:p w14:paraId="3BB63C3E" w14:textId="77777777" w:rsidR="00FB08B8" w:rsidRDefault="00DE00FB">
      <w:pPr>
        <w:pStyle w:val="BodyText"/>
        <w:numPr>
          <w:ilvl w:val="0"/>
          <w:numId w:val="25"/>
        </w:numPr>
        <w:rPr>
          <w:rFonts w:ascii="Calibri" w:hAnsi="Calibri"/>
        </w:rPr>
      </w:pPr>
      <w:r>
        <w:rPr>
          <w:rFonts w:ascii="Calibri" w:hAnsi="Calibri" w:hint="eastAsia"/>
        </w:rPr>
        <w:t>IALA S-201 Aids to Navigation Information Product Specification, Ed.2.0.0, 2025</w:t>
      </w:r>
    </w:p>
    <w:p w14:paraId="3BB63C3F" w14:textId="77777777" w:rsidR="00FB08B8" w:rsidRDefault="00DE00FB">
      <w:pPr>
        <w:pStyle w:val="BodyText"/>
        <w:numPr>
          <w:ilvl w:val="0"/>
          <w:numId w:val="25"/>
        </w:numPr>
        <w:rPr>
          <w:rFonts w:ascii="Calibri" w:hAnsi="Calibri"/>
        </w:rPr>
      </w:pPr>
      <w:r>
        <w:rPr>
          <w:rFonts w:ascii="Calibri" w:hAnsi="Calibri" w:hint="eastAsia"/>
        </w:rPr>
        <w:t>ITU-R M.1371-6  Technical characteristics for VHF automatic identification system using time division multiple access in the maritime mobile service</w:t>
      </w:r>
      <w:r>
        <w:rPr>
          <w:rFonts w:ascii="Calibri" w:eastAsia="SimSun" w:hAnsi="Calibri" w:hint="eastAsia"/>
          <w:lang w:val="en-US" w:eastAsia="zh-CN"/>
        </w:rPr>
        <w:t>, 2026</w:t>
      </w:r>
    </w:p>
    <w:p w14:paraId="3BB63C40" w14:textId="77777777" w:rsidR="00FB08B8" w:rsidRDefault="00DE00FB">
      <w:pPr>
        <w:pStyle w:val="Heading1"/>
      </w:pPr>
      <w:r>
        <w:t>Background</w:t>
      </w:r>
    </w:p>
    <w:p w14:paraId="3BB63C41" w14:textId="77777777" w:rsidR="00FB08B8" w:rsidRDefault="00DE00FB">
      <w:pPr>
        <w:pStyle w:val="BodyText"/>
        <w:rPr>
          <w:rFonts w:ascii="Calibri" w:eastAsia="SimSun" w:hAnsi="Calibri"/>
          <w:lang w:val="en-US" w:eastAsia="zh-CN"/>
        </w:rPr>
      </w:pPr>
      <w:r>
        <w:rPr>
          <w:rFonts w:ascii="Calibri" w:hAnsi="Calibri" w:hint="eastAsia"/>
        </w:rPr>
        <w:t xml:space="preserve">The S-201 Aids to Navigation (AtoN) Information Product Specification provides a universal structure for the exchange of AtoN information. The specification </w:t>
      </w:r>
      <w:r>
        <w:t xml:space="preserve">applies to various types of AtoN, including </w:t>
      </w:r>
      <w:r>
        <w:rPr>
          <w:rFonts w:ascii="Calibri" w:hAnsi="Calibri" w:hint="eastAsia"/>
        </w:rPr>
        <w:t>lighthouses,</w:t>
      </w:r>
      <w:r>
        <w:rPr>
          <w:rFonts w:ascii="Calibri" w:hAnsi="Calibri"/>
        </w:rPr>
        <w:t xml:space="preserve"> </w:t>
      </w:r>
      <w:r>
        <w:rPr>
          <w:rFonts w:ascii="Calibri" w:hAnsi="Calibri" w:hint="eastAsia"/>
        </w:rPr>
        <w:t xml:space="preserve"> buoys, RACONs, AIS AtoN,</w:t>
      </w:r>
      <w:r>
        <w:rPr>
          <w:rFonts w:ascii="Calibri" w:hAnsi="Calibri"/>
        </w:rPr>
        <w:t xml:space="preserve"> and sound beacons,</w:t>
      </w:r>
      <w:r>
        <w:rPr>
          <w:rFonts w:ascii="Calibri" w:hAnsi="Calibri" w:hint="eastAsia"/>
        </w:rPr>
        <w:t xml:space="preserve"> as well as </w:t>
      </w:r>
      <w:r>
        <w:t xml:space="preserve">their related information such as </w:t>
      </w:r>
      <w:r>
        <w:rPr>
          <w:rFonts w:ascii="Calibri" w:hAnsi="Calibri" w:hint="eastAsia"/>
        </w:rPr>
        <w:t xml:space="preserve">position, attributes, </w:t>
      </w:r>
      <w:r>
        <w:rPr>
          <w:rFonts w:ascii="Calibri" w:hAnsi="Calibri"/>
        </w:rPr>
        <w:t xml:space="preserve">and </w:t>
      </w:r>
      <w:r>
        <w:rPr>
          <w:rFonts w:ascii="Calibri" w:hAnsi="Calibri" w:hint="eastAsia"/>
        </w:rPr>
        <w:t xml:space="preserve">operational status. </w:t>
      </w:r>
      <w:r>
        <w:t>The S-201 Product Specification can be used by AtoN authorities, hydrographic organizations, and other organizations (including commercial and professional organizations) to exchange AtoN information in a consistent format.</w:t>
      </w:r>
      <w:r>
        <w:rPr>
          <w:rFonts w:ascii="Calibri" w:hAnsi="Calibri" w:hint="eastAsia"/>
        </w:rPr>
        <w:t xml:space="preserve"> </w:t>
      </w:r>
      <w:r>
        <w:rPr>
          <w:rFonts w:ascii="Calibri" w:hAnsi="Calibri"/>
        </w:rPr>
        <w:t>IALA</w:t>
      </w:r>
      <w:r>
        <w:rPr>
          <w:rFonts w:ascii="Calibri" w:hAnsi="Calibri" w:hint="eastAsia"/>
        </w:rPr>
        <w:t xml:space="preserve"> has officially released S-201 Edition 2.0, which </w:t>
      </w:r>
      <w:r>
        <w:rPr>
          <w:rFonts w:ascii="Calibri" w:eastAsia="SimSun" w:hAnsi="Calibri" w:hint="eastAsia"/>
          <w:lang w:val="en-US" w:eastAsia="zh-CN"/>
        </w:rPr>
        <w:t>constitutes</w:t>
      </w:r>
      <w:r>
        <w:rPr>
          <w:rFonts w:ascii="Calibri" w:hAnsi="Calibri" w:hint="eastAsia"/>
        </w:rPr>
        <w:t xml:space="preserve"> the first operational version of the specification.</w:t>
      </w:r>
      <w:r>
        <w:rPr>
          <w:rFonts w:ascii="Calibri" w:eastAsia="SimSun" w:hAnsi="Calibri" w:hint="eastAsia"/>
          <w:lang w:val="en-US" w:eastAsia="zh-CN"/>
        </w:rPr>
        <w:t xml:space="preserve"> Meanwhile, the newly released ITU-R M.1371-6 </w:t>
      </w:r>
      <w:r>
        <w:rPr>
          <w:rFonts w:ascii="Calibri" w:eastAsia="SimSun" w:hAnsi="Calibri" w:hint="eastAsia"/>
          <w:lang w:val="en-US" w:eastAsia="zh-CN"/>
        </w:rPr>
        <w:lastRenderedPageBreak/>
        <w:t>standard in February 2026 officially supplemented the technical operational characteristics of "Mobile AIS AtoN", which requi</w:t>
      </w:r>
      <w:r>
        <w:rPr>
          <w:rFonts w:ascii="Calibri" w:eastAsia="SimSun" w:hAnsi="Calibri" w:hint="eastAsia"/>
          <w:lang w:val="en-US" w:eastAsia="zh-CN"/>
        </w:rPr>
        <w:t>res synchronous support from S-201 in its AtoN information exchange architecture.</w:t>
      </w:r>
    </w:p>
    <w:p w14:paraId="3BB63C42" w14:textId="77777777" w:rsidR="00FB08B8" w:rsidRDefault="00DE00FB">
      <w:pPr>
        <w:pStyle w:val="Heading1"/>
      </w:pPr>
      <w:r>
        <w:t>Discussion</w:t>
      </w:r>
    </w:p>
    <w:p w14:paraId="3BB63C43" w14:textId="77777777" w:rsidR="00FB08B8" w:rsidRDefault="00DE00FB">
      <w:pPr>
        <w:pStyle w:val="Heading2"/>
      </w:pPr>
      <w:r>
        <w:rPr>
          <w:rFonts w:hint="eastAsia"/>
        </w:rPr>
        <w:t>Discussion on the Application Modes of AIS AtoN</w:t>
      </w:r>
    </w:p>
    <w:p w14:paraId="3BB63C44" w14:textId="77777777" w:rsidR="00FB08B8" w:rsidRDefault="00DE00FB">
      <w:pPr>
        <w:pStyle w:val="BodyText"/>
      </w:pPr>
      <w:r>
        <w:rPr>
          <w:rFonts w:hint="eastAsia"/>
        </w:rPr>
        <w:t>Section 4.2 of the S-201 main document specifies that Virtual and Synthetic AIS AtoN use a RadioStation as the broadcasting station</w:t>
      </w:r>
      <w:r>
        <w:t>, and describes their broadcasting logic via association relationships</w:t>
      </w:r>
      <w:r>
        <w:rPr>
          <w:rFonts w:hint="eastAsia"/>
        </w:rPr>
        <w:t>. However, it fails to define the relationship between Physical AIS AtoN and the RadioStation.</w:t>
      </w:r>
      <w:r>
        <w:t xml:space="preserve"> In addition, Figure 4 in the main S</w:t>
      </w:r>
      <w:r>
        <w:noBreakHyphen/>
        <w:t xml:space="preserve">201 document defines the associations among virtual, physical and synthetic AIS AtoN and RadioStation, </w:t>
      </w:r>
      <w:r>
        <w:rPr>
          <w:rFonts w:hint="eastAsia"/>
        </w:rPr>
        <w:t xml:space="preserve">, </w:t>
      </w:r>
      <w:r>
        <w:t xml:space="preserve">with </w:t>
      </w:r>
      <w:r>
        <w:rPr>
          <w:rFonts w:hint="eastAsia"/>
        </w:rPr>
        <w:t xml:space="preserve">the multiplicity at the RadioStation end for all AIS AtoN types is (0..1), which conflicts with actual AIS mechanisms. </w:t>
      </w:r>
      <w:r>
        <w:t xml:space="preserve">In practical applications, </w:t>
      </w:r>
      <w:r>
        <w:rPr>
          <w:rFonts w:hint="eastAsia"/>
        </w:rPr>
        <w:t xml:space="preserve"> Virtual/Synthetic types rely entirely on </w:t>
      </w:r>
      <w:r>
        <w:t>RadioStation</w:t>
      </w:r>
      <w:r>
        <w:rPr>
          <w:rFonts w:hint="eastAsia"/>
        </w:rPr>
        <w:t xml:space="preserve"> </w:t>
      </w:r>
      <w:r>
        <w:rPr>
          <w:rFonts w:hint="eastAsia"/>
        </w:rPr>
        <w:t xml:space="preserve">to broadcast, </w:t>
      </w:r>
      <w:r>
        <w:t>By contrast, a physical AIS AtoN has autonomous transmitting capability (i.e., it is an independent AIS station itself)</w:t>
      </w:r>
      <w:r>
        <w:rPr>
          <w:rFonts w:hint="eastAsia"/>
        </w:rPr>
        <w:t>. The relationship there is logical/management-based (e.g., VDL channel coordination or monitoring by a Base Station) rather than a physical broadcast dependency.</w:t>
      </w:r>
      <w:r>
        <w:t xml:space="preserve"> The existing UML diagram should be revised and improved to avoid ambiguity.</w:t>
      </w:r>
    </w:p>
    <w:p w14:paraId="3BB63C45" w14:textId="77777777" w:rsidR="00FB08B8" w:rsidRDefault="00DE00FB">
      <w:pPr>
        <w:pStyle w:val="BodyText"/>
      </w:pPr>
      <w:r>
        <w:rPr>
          <w:rFonts w:hint="eastAsia"/>
          <w:b/>
          <w:bCs/>
        </w:rPr>
        <w:t>Recommendation:</w:t>
      </w:r>
      <w:r>
        <w:rPr>
          <w:rFonts w:hint="eastAsia"/>
        </w:rPr>
        <w:t xml:space="preserve"> </w:t>
      </w:r>
    </w:p>
    <w:p w14:paraId="3BB63C46" w14:textId="77777777" w:rsidR="00FB08B8" w:rsidRDefault="00DE00FB">
      <w:pPr>
        <w:pStyle w:val="BodyText"/>
      </w:pPr>
      <w:r>
        <w:rPr>
          <w:rFonts w:eastAsia="SimSun" w:hint="eastAsia"/>
          <w:lang w:val="en-US" w:eastAsia="zh-CN"/>
        </w:rPr>
        <w:t>1.</w:t>
      </w:r>
      <w:r>
        <w:rPr>
          <w:rFonts w:hint="eastAsia"/>
        </w:rPr>
        <w:t>Add restrictive notes in Section 4.2 or the UML diagram to clarify that for Physical AIS AtoN, the RadioStation acts as a Base Station (logical management) rather than a Broadcasting Station</w:t>
      </w:r>
      <w:r>
        <w:t>, and clearly stating that the PhysicalAIS association only represents a logical management relationship.</w:t>
      </w:r>
    </w:p>
    <w:p w14:paraId="3BB63C47" w14:textId="77777777" w:rsidR="00FB08B8" w:rsidRDefault="00DE00FB">
      <w:pPr>
        <w:pStyle w:val="BodyText"/>
      </w:pPr>
      <w:r>
        <w:rPr>
          <w:rFonts w:eastAsia="SimSun" w:hint="eastAsia"/>
          <w:lang w:val="en-US" w:eastAsia="zh-CN"/>
        </w:rPr>
        <w:t>2.</w:t>
      </w:r>
      <w:r>
        <w:rPr>
          <w:rFonts w:hint="eastAsia"/>
        </w:rPr>
        <w:t>Change the multiplicity of VirtualAISAidToNavigation and SyntheticAISAidToNavigation at the RadioStation end from (0..1) to (1</w:t>
      </w:r>
      <w:r>
        <w:rPr>
          <w:rFonts w:eastAsia="SimSun" w:hint="eastAsia"/>
          <w:lang w:val="en-US" w:eastAsia="zh-CN"/>
        </w:rPr>
        <w:t>..*</w:t>
      </w:r>
      <w:r>
        <w:rPr>
          <w:rFonts w:hint="eastAsia"/>
        </w:rPr>
        <w:t>).</w:t>
      </w:r>
    </w:p>
    <w:p w14:paraId="3BB63C48" w14:textId="77777777" w:rsidR="00FB08B8" w:rsidRDefault="00DE00FB">
      <w:pPr>
        <w:pStyle w:val="BodyText"/>
        <w:jc w:val="center"/>
      </w:pPr>
      <w:r>
        <w:rPr>
          <w:noProof/>
          <w:lang w:val="en-US" w:eastAsia="zh-CN"/>
        </w:rPr>
        <w:drawing>
          <wp:inline distT="0" distB="0" distL="114300" distR="114300" wp14:anchorId="3BB63C69" wp14:editId="3BB63C6A">
            <wp:extent cx="5442585" cy="4673600"/>
            <wp:effectExtent l="0" t="0" r="5715"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5442585" cy="4673600"/>
                    </a:xfrm>
                    <a:prstGeom prst="rect">
                      <a:avLst/>
                    </a:prstGeom>
                    <a:noFill/>
                    <a:ln>
                      <a:noFill/>
                    </a:ln>
                  </pic:spPr>
                </pic:pic>
              </a:graphicData>
            </a:graphic>
          </wp:inline>
        </w:drawing>
      </w:r>
    </w:p>
    <w:p w14:paraId="3BB63C49" w14:textId="77777777" w:rsidR="00FB08B8" w:rsidRDefault="00DE00FB">
      <w:pPr>
        <w:pStyle w:val="Figurecaption"/>
        <w:suppressAutoHyphens/>
      </w:pPr>
      <w:bookmarkStart w:id="1" w:name="_Hlk59199741"/>
      <w:r>
        <w:rPr>
          <w:rFonts w:hint="eastAsia"/>
        </w:rPr>
        <w:lastRenderedPageBreak/>
        <w:t>AIS Aids to Navigation</w:t>
      </w:r>
    </w:p>
    <w:bookmarkEnd w:id="1"/>
    <w:p w14:paraId="3BB63C4A" w14:textId="77777777" w:rsidR="00FB08B8" w:rsidRDefault="00FB08B8"/>
    <w:p w14:paraId="3BB63C4B" w14:textId="77777777" w:rsidR="00FB08B8" w:rsidRDefault="00FB08B8"/>
    <w:p w14:paraId="3BB63C4C" w14:textId="77777777" w:rsidR="00FB08B8" w:rsidRDefault="00DE00FB">
      <w:pPr>
        <w:pStyle w:val="Heading2"/>
      </w:pPr>
      <w:r>
        <w:rPr>
          <w:rFonts w:hint="eastAsia"/>
        </w:rPr>
        <w:t>Discussion on adding Mobile AIS AtoN in the AIS AtoN model</w:t>
      </w:r>
    </w:p>
    <w:p w14:paraId="3BB63C4D" w14:textId="77777777" w:rsidR="00FB08B8" w:rsidRDefault="00DE00FB">
      <w:pPr>
        <w:pStyle w:val="BodyText"/>
      </w:pPr>
      <w:r>
        <w:rPr>
          <w:rFonts w:hint="eastAsia"/>
        </w:rPr>
        <w:t>In February 2026, the International Telecommunication Union (ITU) released Recommendation M.1371-6, which officially introduced the concept and related technical characteristics of "Mobile AIS AtoN". However, the current AIS AtoN model in S-201 has not yet covered this new type of AtoN with dynamic positional characteristics. If they are not specifically defined and modeled, receiving end systems could easily misinterpret the Mobile AIS AtoN, whose real-time positions are constantly changing, as a fixed Ato</w:t>
      </w:r>
      <w:r>
        <w:rPr>
          <w:rFonts w:hint="eastAsia"/>
        </w:rPr>
        <w:t>N that is off-position, or even as marine hazards, thereby triggering continuous false alarms.</w:t>
      </w:r>
    </w:p>
    <w:p w14:paraId="3BB63C4E" w14:textId="77777777" w:rsidR="00FB08B8" w:rsidRDefault="00DE00FB">
      <w:pPr>
        <w:pStyle w:val="BodyText"/>
        <w:rPr>
          <w:b/>
          <w:bCs/>
        </w:rPr>
      </w:pPr>
      <w:r>
        <w:rPr>
          <w:rFonts w:hint="eastAsia"/>
          <w:b/>
          <w:bCs/>
        </w:rPr>
        <w:t xml:space="preserve">Recommendation: </w:t>
      </w:r>
    </w:p>
    <w:p w14:paraId="3BB63C4F" w14:textId="77777777" w:rsidR="00FB08B8" w:rsidRDefault="00DE00FB">
      <w:pPr>
        <w:pStyle w:val="BodyText"/>
      </w:pPr>
      <w:r>
        <w:rPr>
          <w:rFonts w:eastAsia="SimSun" w:hint="eastAsia"/>
          <w:lang w:val="en-US" w:eastAsia="zh-CN"/>
        </w:rPr>
        <w:t>I</w:t>
      </w:r>
      <w:r>
        <w:rPr>
          <w:rFonts w:hint="eastAsia"/>
        </w:rPr>
        <w:t>ncorporate operational logic support for 'Mobile AIS AtoN' in Figure 4. AIS Aids to Navigation, considering establishing it as an independent geographic Feature Type parallel to Physical, Virtual, and Synthetic AIS AtoN. Furthermore, it is recommended to further study and implement specific data modeling, attribute classification refinement, and spatial geometry encoding rules for Mobile AIS AtoN in subsequent version revisions.</w:t>
      </w:r>
    </w:p>
    <w:p w14:paraId="3BB63C50" w14:textId="77777777" w:rsidR="00FB08B8" w:rsidRDefault="00DE00FB">
      <w:pPr>
        <w:pStyle w:val="Heading2"/>
      </w:pPr>
      <w:r>
        <w:rPr>
          <w:rFonts w:hint="eastAsia"/>
        </w:rPr>
        <w:t>Definition of Bridge Features</w:t>
      </w:r>
    </w:p>
    <w:p w14:paraId="3BB63C51" w14:textId="77777777" w:rsidR="00FB08B8" w:rsidRDefault="00DE00FB">
      <w:pPr>
        <w:pStyle w:val="BodyText"/>
      </w:pPr>
      <w:r>
        <w:rPr>
          <w:rFonts w:hint="eastAsia"/>
        </w:rPr>
        <w:t>There is a geometric inconsistency between the main document (Figure 2/Annex C), which labels Bridge as noGeometry, and Annex A (Section 6.8), which defines it as Point, Curve, or Surface. This causes confusion for data producers and risks interoperability failures.</w:t>
      </w:r>
      <w:r>
        <w:rPr>
          <w:rFonts w:eastAsia="SimSun" w:hint="eastAsia"/>
          <w:lang w:val="en-US" w:eastAsia="zh-CN"/>
        </w:rPr>
        <w:t xml:space="preserve"> In practice, bridge aids to navigation (e.g., marks indicating the best point of passage for navigable spans, or prohibited transit marks) are highly specialized in both function and shape. Since a bridge is an independent structural element, the existing options under the 'Category of special purpose' attribute for the Daymark feature are insufficient to intuitively convey their core semantics of 'bridge guidance'.</w:t>
      </w:r>
    </w:p>
    <w:p w14:paraId="3BB63C52" w14:textId="77777777" w:rsidR="00FB08B8" w:rsidRDefault="00DE00FB">
      <w:pPr>
        <w:pStyle w:val="BodyText"/>
        <w:rPr>
          <w:b/>
          <w:bCs/>
        </w:rPr>
      </w:pPr>
      <w:r>
        <w:rPr>
          <w:rFonts w:hint="eastAsia"/>
          <w:b/>
          <w:bCs/>
        </w:rPr>
        <w:t>Recommendation:</w:t>
      </w:r>
    </w:p>
    <w:p w14:paraId="3BB63C53" w14:textId="77777777" w:rsidR="00FB08B8" w:rsidRDefault="00DE00FB">
      <w:pPr>
        <w:pStyle w:val="BodyText"/>
      </w:pPr>
      <w:r>
        <w:rPr>
          <w:rFonts w:eastAsia="SimSun" w:hint="eastAsia"/>
          <w:lang w:val="en-US" w:eastAsia="zh-CN"/>
        </w:rPr>
        <w:t>1.</w:t>
      </w:r>
      <w:r>
        <w:t>Amend</w:t>
      </w:r>
      <w:r>
        <w:rPr>
          <w:rFonts w:hint="eastAsia"/>
        </w:rPr>
        <w:t xml:space="preserve"> Figure 2 by removing the </w:t>
      </w:r>
      <w:r>
        <w:t>“</w:t>
      </w:r>
      <w:r>
        <w:rPr>
          <w:rFonts w:hint="eastAsia"/>
        </w:rPr>
        <w:t>no geometry</w:t>
      </w:r>
      <w:r>
        <w:t>”</w:t>
      </w:r>
      <w:r>
        <w:rPr>
          <w:rFonts w:hint="eastAsia"/>
        </w:rPr>
        <w:t xml:space="preserve"> </w:t>
      </w:r>
      <w:r>
        <w:t>label</w:t>
      </w:r>
      <w:r>
        <w:rPr>
          <w:rFonts w:hint="eastAsia"/>
        </w:rPr>
        <w:t xml:space="preserve"> </w:t>
      </w:r>
      <w:r>
        <w:t xml:space="preserve"> next to </w:t>
      </w:r>
      <w:r>
        <w:rPr>
          <w:rFonts w:hint="eastAsia"/>
        </w:rPr>
        <w:t xml:space="preserve"> the Bridge feature.</w:t>
      </w:r>
    </w:p>
    <w:p w14:paraId="3BB63C54" w14:textId="77777777" w:rsidR="00FB08B8" w:rsidRDefault="00DE00FB">
      <w:pPr>
        <w:pStyle w:val="BodyText"/>
      </w:pPr>
      <w:r>
        <w:rPr>
          <w:rFonts w:eastAsia="SimSun" w:hint="eastAsia"/>
          <w:lang w:val="en-US" w:eastAsia="zh-CN"/>
        </w:rPr>
        <w:t>2.</w:t>
      </w:r>
      <w:r>
        <w:t xml:space="preserve"> Update the Feature Catalogue, r</w:t>
      </w:r>
      <w:r>
        <w:rPr>
          <w:rFonts w:hint="eastAsia"/>
        </w:rPr>
        <w:t>edefine Bridge as a geographic Feature Type with spatial attributes</w:t>
      </w:r>
      <w:r>
        <w:t>, so as to maintain consistency and machine readability of the standard</w:t>
      </w:r>
      <w:r>
        <w:rPr>
          <w:rFonts w:hint="eastAsia"/>
        </w:rPr>
        <w:t>.</w:t>
      </w:r>
    </w:p>
    <w:p w14:paraId="3BB63C55" w14:textId="77777777" w:rsidR="00FB08B8" w:rsidRDefault="00DE00FB">
      <w:pPr>
        <w:pStyle w:val="BodyText"/>
      </w:pPr>
      <w:r>
        <w:rPr>
          <w:rFonts w:eastAsia="SimSun" w:hint="eastAsia"/>
          <w:lang w:val="en-US" w:eastAsia="zh-CN"/>
        </w:rPr>
        <w:t>3.</w:t>
      </w:r>
      <w:r>
        <w:t xml:space="preserve"> Add bridge mark to the code list for the “Category of special purpose mark” attribute in section 8.10 in Annex A of S</w:t>
      </w:r>
      <w:r>
        <w:noBreakHyphen/>
        <w:t>201, to identify</w:t>
      </w:r>
      <w:r>
        <w:rPr>
          <w:rFonts w:hint="eastAsia"/>
        </w:rPr>
        <w:t xml:space="preserve"> port/starboard span marks, best points of passage, </w:t>
      </w:r>
      <w:r>
        <w:t xml:space="preserve">span restriction markers </w:t>
      </w:r>
      <w:r>
        <w:rPr>
          <w:rFonts w:hint="eastAsia"/>
        </w:rPr>
        <w:t>and pier warning marks.</w:t>
      </w:r>
    </w:p>
    <w:p w14:paraId="3BB63C56" w14:textId="77777777" w:rsidR="00FB08B8" w:rsidRDefault="00DE00FB">
      <w:pPr>
        <w:pStyle w:val="Heading2"/>
      </w:pPr>
      <w:r>
        <w:rPr>
          <w:rFonts w:hint="eastAsia"/>
        </w:rPr>
        <w:t>Adaptability of Cardinal Buoys in Special Purpose Models</w:t>
      </w:r>
    </w:p>
    <w:p w14:paraId="3BB63C57" w14:textId="77777777" w:rsidR="00FB08B8" w:rsidRDefault="00DE00FB">
      <w:pPr>
        <w:pStyle w:val="BodyText"/>
      </w:pPr>
      <w:r>
        <w:t xml:space="preserve">In the </w:t>
      </w:r>
      <w:r>
        <w:rPr>
          <w:rFonts w:hint="eastAsia"/>
        </w:rPr>
        <w:t>Figure 7 ("Mooring buoy &amp; emergency wreck buoy")</w:t>
      </w:r>
      <w:r>
        <w:t>,</w:t>
      </w:r>
      <w:r>
        <w:rPr>
          <w:rFonts w:hint="eastAsia"/>
        </w:rPr>
        <w:t xml:space="preserve"> currently CardinalBuoy</w:t>
      </w:r>
      <w:r>
        <w:t xml:space="preserve"> is included in the model design, which</w:t>
      </w:r>
      <w:r>
        <w:rPr>
          <w:rFonts w:hint="eastAsia"/>
        </w:rPr>
        <w:t xml:space="preserve"> conflicts with maintenance logic, as Cardinal Buoys </w:t>
      </w:r>
      <w:r>
        <w:t xml:space="preserve">are used to </w:t>
      </w:r>
      <w:r>
        <w:rPr>
          <w:rFonts w:hint="eastAsia"/>
        </w:rPr>
        <w:t>indicate navigable water directions, whereas Mooring and Emergency Wreck buoys serve highly specific, non-directional purposes.</w:t>
      </w:r>
      <w:r>
        <w:t xml:space="preserve"> In the current model, this may easily lead to ambiguous data expression and logical conflicts.</w:t>
      </w:r>
    </w:p>
    <w:p w14:paraId="3BB63C58" w14:textId="77777777" w:rsidR="00FB08B8" w:rsidRDefault="00DE00FB">
      <w:pPr>
        <w:pStyle w:val="BodyText"/>
        <w:rPr>
          <w:b/>
          <w:bCs/>
        </w:rPr>
      </w:pPr>
      <w:r>
        <w:rPr>
          <w:rFonts w:hint="eastAsia"/>
          <w:b/>
          <w:bCs/>
        </w:rPr>
        <w:t>Recommendation:</w:t>
      </w:r>
    </w:p>
    <w:p w14:paraId="3BB63C59" w14:textId="77777777" w:rsidR="00FB08B8" w:rsidRDefault="00DE00FB">
      <w:pPr>
        <w:pStyle w:val="BodyText"/>
      </w:pPr>
      <w:r>
        <w:rPr>
          <w:rFonts w:hint="eastAsia"/>
        </w:rPr>
        <w:t>Clarify the role of this element in Figure 7</w:t>
      </w:r>
      <w:r>
        <w:t xml:space="preserve"> within the product specification</w:t>
      </w:r>
      <w:r>
        <w:rPr>
          <w:rFonts w:hint="eastAsia"/>
        </w:rPr>
        <w:t xml:space="preserve">. If it is only intended as a reference </w:t>
      </w:r>
      <w:r>
        <w:t>to a generic mark</w:t>
      </w:r>
      <w:r>
        <w:rPr>
          <w:rFonts w:hint="eastAsia"/>
        </w:rPr>
        <w:t xml:space="preserve"> shape, it is recommended to remove CardinalBuoy from this specific</w:t>
      </w:r>
      <w:r>
        <w:t xml:space="preserve"> -purpose</w:t>
      </w:r>
      <w:r>
        <w:rPr>
          <w:rFonts w:hint="eastAsia"/>
        </w:rPr>
        <w:t xml:space="preserve"> </w:t>
      </w:r>
      <w:r>
        <w:t xml:space="preserve">of </w:t>
      </w:r>
      <w:r>
        <w:rPr>
          <w:rFonts w:hint="eastAsia"/>
        </w:rPr>
        <w:t>UML diagram to ensure logical rigor in functional classification.</w:t>
      </w:r>
    </w:p>
    <w:p w14:paraId="3BB63C5A" w14:textId="77777777" w:rsidR="00FB08B8" w:rsidRDefault="00FB08B8">
      <w:pPr>
        <w:pStyle w:val="BodyText"/>
      </w:pPr>
    </w:p>
    <w:p w14:paraId="3BB63C5B" w14:textId="77777777" w:rsidR="00FB08B8" w:rsidRDefault="00FB08B8">
      <w:pPr>
        <w:pStyle w:val="BodyText"/>
      </w:pPr>
    </w:p>
    <w:p w14:paraId="3BB63C5C" w14:textId="77777777" w:rsidR="00FB08B8" w:rsidRDefault="00FB08B8">
      <w:pPr>
        <w:pStyle w:val="BodyText"/>
      </w:pPr>
    </w:p>
    <w:p w14:paraId="3BB63C5D" w14:textId="77777777" w:rsidR="00FB08B8" w:rsidRDefault="00FB08B8">
      <w:pPr>
        <w:pStyle w:val="BodyText"/>
      </w:pPr>
    </w:p>
    <w:p w14:paraId="3BB63C5E" w14:textId="77777777" w:rsidR="00FB08B8" w:rsidRDefault="00FB08B8">
      <w:pPr>
        <w:pStyle w:val="BodyText"/>
      </w:pPr>
    </w:p>
    <w:p w14:paraId="3BB63C5F" w14:textId="77777777" w:rsidR="00FB08B8" w:rsidRDefault="00FB08B8">
      <w:pPr>
        <w:pStyle w:val="BodyText"/>
      </w:pPr>
    </w:p>
    <w:p w14:paraId="3BB63C60" w14:textId="77777777" w:rsidR="00FB08B8" w:rsidRDefault="00DE00FB">
      <w:pPr>
        <w:pStyle w:val="BodyText"/>
        <w:jc w:val="center"/>
        <w:rPr>
          <w:lang w:val="en-US" w:eastAsia="zh-CN"/>
        </w:rPr>
      </w:pPr>
      <w:r>
        <w:rPr>
          <w:rFonts w:hint="eastAsia"/>
          <w:noProof/>
          <w:lang w:val="en-US" w:eastAsia="zh-CN"/>
        </w:rPr>
        <w:drawing>
          <wp:inline distT="0" distB="0" distL="114300" distR="114300" wp14:anchorId="3BB63C6B" wp14:editId="3BB63C6C">
            <wp:extent cx="3323590" cy="3472180"/>
            <wp:effectExtent l="0" t="0" r="10160" b="13970"/>
            <wp:docPr id="1" name="图片 1" descr="5a24184c2ba9bd7b18b5855ece79d8c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a24184c2ba9bd7b18b5855ece79d8c4"/>
                    <pic:cNvPicPr>
                      <a:picLocks noChangeAspect="1"/>
                    </pic:cNvPicPr>
                  </pic:nvPicPr>
                  <pic:blipFill>
                    <a:blip r:embed="rId12"/>
                    <a:stretch>
                      <a:fillRect/>
                    </a:stretch>
                  </pic:blipFill>
                  <pic:spPr>
                    <a:xfrm>
                      <a:off x="0" y="0"/>
                      <a:ext cx="3323590" cy="3472180"/>
                    </a:xfrm>
                    <a:prstGeom prst="rect">
                      <a:avLst/>
                    </a:prstGeom>
                  </pic:spPr>
                </pic:pic>
              </a:graphicData>
            </a:graphic>
          </wp:inline>
        </w:drawing>
      </w:r>
    </w:p>
    <w:p w14:paraId="3BB63C61" w14:textId="77777777" w:rsidR="00FB08B8" w:rsidRDefault="00DE00FB">
      <w:pPr>
        <w:pStyle w:val="Figurecaption"/>
        <w:suppressAutoHyphens/>
      </w:pPr>
      <w:r>
        <w:rPr>
          <w:rFonts w:hint="eastAsia"/>
        </w:rPr>
        <w:t>Mooring buoy &amp; emergency wreck buoy</w:t>
      </w:r>
    </w:p>
    <w:p w14:paraId="3BB63C62" w14:textId="77777777" w:rsidR="00FB08B8" w:rsidRDefault="00DE00FB">
      <w:pPr>
        <w:pStyle w:val="Heading1"/>
      </w:pPr>
      <w:r>
        <w:t>References</w:t>
      </w:r>
    </w:p>
    <w:p w14:paraId="3BB63C63" w14:textId="77777777" w:rsidR="00FB08B8" w:rsidRDefault="00DE00FB">
      <w:pPr>
        <w:pStyle w:val="Reference"/>
        <w:rPr>
          <w:lang w:eastAsia="de-DE"/>
        </w:rPr>
      </w:pPr>
      <w:r>
        <w:rPr>
          <w:rFonts w:hint="eastAsia"/>
          <w:lang w:eastAsia="de-DE"/>
        </w:rPr>
        <w:t>IHO S-100 Universal Hydrographic Data Model, Edition 5.2.0, 2024</w:t>
      </w:r>
    </w:p>
    <w:p w14:paraId="3BB63C64" w14:textId="77777777" w:rsidR="00FB08B8" w:rsidRDefault="00DE00FB">
      <w:pPr>
        <w:pStyle w:val="Reference"/>
        <w:rPr>
          <w:lang w:eastAsia="de-DE"/>
        </w:rPr>
      </w:pPr>
      <w:r>
        <w:rPr>
          <w:rFonts w:hint="eastAsia"/>
          <w:lang w:eastAsia="de-DE"/>
        </w:rPr>
        <w:t>IALA S-201 Aids to Navigation Information Product Specification, Ed. 2.0.0, 2025</w:t>
      </w:r>
    </w:p>
    <w:p w14:paraId="3BB63C65" w14:textId="77777777" w:rsidR="00FB08B8" w:rsidRDefault="00DE00FB">
      <w:pPr>
        <w:pStyle w:val="Reference"/>
        <w:rPr>
          <w:lang w:eastAsia="de-DE"/>
        </w:rPr>
      </w:pPr>
      <w:r>
        <w:rPr>
          <w:rFonts w:ascii="Calibri" w:hAnsi="Calibri" w:hint="eastAsia"/>
        </w:rPr>
        <w:t>ITU-R M.1371-6  Technical characteristics for VHF automatic identification system using time division multiple access in the maritime mobile service</w:t>
      </w:r>
      <w:r>
        <w:rPr>
          <w:rFonts w:ascii="Calibri" w:eastAsia="SimSun" w:hAnsi="Calibri" w:hint="eastAsia"/>
          <w:lang w:val="en-US" w:eastAsia="zh-CN"/>
        </w:rPr>
        <w:t>, 2026</w:t>
      </w:r>
    </w:p>
    <w:p w14:paraId="3BB63C66" w14:textId="77777777" w:rsidR="00FB08B8" w:rsidRDefault="00DE00FB">
      <w:pPr>
        <w:pStyle w:val="Heading1"/>
      </w:pPr>
      <w:r>
        <w:t>Action requested of the Committee</w:t>
      </w:r>
    </w:p>
    <w:p w14:paraId="3BB63C67" w14:textId="77777777" w:rsidR="00FB08B8" w:rsidRDefault="00DE00FB">
      <w:pPr>
        <w:pStyle w:val="BodyText"/>
        <w:rPr>
          <w:rFonts w:ascii="Calibri" w:hAnsi="Calibri"/>
        </w:rPr>
      </w:pPr>
      <w:r>
        <w:rPr>
          <w:rFonts w:ascii="Calibri" w:hAnsi="Calibri"/>
        </w:rPr>
        <w:t>The Committee is requested to</w:t>
      </w:r>
      <w:r>
        <w:rPr>
          <w:rFonts w:ascii="Calibri" w:hAnsi="Calibri" w:hint="eastAsia"/>
        </w:rPr>
        <w:t xml:space="preserve"> consider</w:t>
      </w:r>
      <w:r>
        <w:rPr>
          <w:rFonts w:ascii="Calibri" w:hAnsi="Calibri"/>
        </w:rPr>
        <w:t xml:space="preserve"> </w:t>
      </w:r>
      <w:r>
        <w:rPr>
          <w:rFonts w:ascii="Calibri" w:eastAsia="SimSun" w:hAnsi="Calibri" w:hint="eastAsia"/>
          <w:lang w:eastAsia="zh-CN"/>
        </w:rPr>
        <w:t xml:space="preserve">the document </w:t>
      </w:r>
      <w:r>
        <w:rPr>
          <w:rFonts w:ascii="Calibri" w:hAnsi="Calibri" w:hint="eastAsia"/>
        </w:rPr>
        <w:t>and provide clarifications and amendments based on the recommendations provided.</w:t>
      </w:r>
    </w:p>
    <w:p w14:paraId="3BB63C68" w14:textId="77777777" w:rsidR="00FB08B8" w:rsidRDefault="00FB08B8">
      <w:pPr>
        <w:pStyle w:val="AppendixHead3"/>
        <w:numPr>
          <w:ilvl w:val="3"/>
          <w:numId w:val="0"/>
        </w:numPr>
      </w:pPr>
    </w:p>
    <w:sectPr w:rsidR="00FB08B8">
      <w:headerReference w:type="default" r:id="rId13"/>
      <w:footerReference w:type="defaul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C092A" w14:textId="77777777" w:rsidR="00DE00FB" w:rsidRDefault="00DE00FB">
      <w:pPr>
        <w:spacing w:line="240" w:lineRule="auto"/>
      </w:pPr>
      <w:r>
        <w:separator/>
      </w:r>
    </w:p>
  </w:endnote>
  <w:endnote w:type="continuationSeparator" w:id="0">
    <w:p w14:paraId="15F615DC" w14:textId="77777777" w:rsidR="00DE00FB" w:rsidRDefault="00DE00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altName w:val="Arial"/>
    <w:panose1 w:val="020B0704020202020204"/>
    <w:charset w:val="00"/>
    <w:family w:val="auto"/>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Body)">
    <w:altName w:val="Calibri"/>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63C72" w14:textId="77777777" w:rsidR="00FB08B8" w:rsidRDefault="00DE00FB">
    <w:pPr>
      <w:pStyle w:val="Footerportrait"/>
    </w:pPr>
    <w:r>
      <w:rPr>
        <w:rFonts w:hint="eastAsia"/>
      </w:rPr>
      <w:t>Proposals for the Revision and Clarification of IALA S-201</w:t>
    </w:r>
    <w:r>
      <w:tab/>
      <w:t xml:space="preserve">P </w:t>
    </w:r>
    <w:r>
      <w:rPr>
        <w:rStyle w:val="PageNumber"/>
        <w:szCs w:val="15"/>
      </w:rPr>
      <w:fldChar w:fldCharType="begin"/>
    </w:r>
    <w:r>
      <w:rPr>
        <w:rStyle w:val="PageNumber"/>
        <w:szCs w:val="15"/>
      </w:rPr>
      <w:instrText xml:space="preserve">PAGE  </w:instrText>
    </w:r>
    <w:r>
      <w:rPr>
        <w:rStyle w:val="PageNumber"/>
        <w:szCs w:val="15"/>
      </w:rPr>
      <w:fldChar w:fldCharType="separate"/>
    </w:r>
    <w:r>
      <w:rPr>
        <w:rStyle w:val="PageNumber"/>
        <w:szCs w:val="15"/>
      </w:rPr>
      <w:t>4</w:t>
    </w:r>
    <w:r>
      <w:rPr>
        <w:rStyle w:val="PageNumber"/>
        <w:szCs w:val="15"/>
      </w:rPr>
      <w:fldChar w:fldCharType="end"/>
    </w:r>
  </w:p>
  <w:p w14:paraId="3BB63C73" w14:textId="77777777" w:rsidR="00FB08B8" w:rsidRDefault="00FB08B8">
    <w:pPr>
      <w:pStyle w:val="Footer"/>
      <w:rPr>
        <w:rFonts w:ascii="Calibri" w:hAnsi="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EE0AA" w14:textId="77777777" w:rsidR="00DE00FB" w:rsidRDefault="00DE00FB">
      <w:pPr>
        <w:spacing w:line="240" w:lineRule="auto"/>
      </w:pPr>
      <w:r>
        <w:separator/>
      </w:r>
    </w:p>
  </w:footnote>
  <w:footnote w:type="continuationSeparator" w:id="0">
    <w:p w14:paraId="531C3F8E" w14:textId="77777777" w:rsidR="00DE00FB" w:rsidRDefault="00DE00FB">
      <w:pPr>
        <w:spacing w:line="240" w:lineRule="auto"/>
      </w:pPr>
      <w:r>
        <w:continuationSeparator/>
      </w:r>
    </w:p>
  </w:footnote>
  <w:footnote w:id="1">
    <w:p w14:paraId="3BB63C76" w14:textId="77777777" w:rsidR="00FB08B8" w:rsidRDefault="00DE00FB">
      <w:pPr>
        <w:pStyle w:val="FootnoteText"/>
      </w:pPr>
      <w:r>
        <w:footnoteRef/>
      </w:r>
      <w:r>
        <w:t xml:space="preserve"> Input document number, to be assigned by the Committee Secretary</w:t>
      </w:r>
    </w:p>
  </w:footnote>
  <w:footnote w:id="2">
    <w:p w14:paraId="3BB63C77" w14:textId="77777777" w:rsidR="00FB08B8" w:rsidRDefault="00DE00FB">
      <w:pPr>
        <w:pStyle w:val="FootnoteText"/>
      </w:pPr>
      <w:r>
        <w:footnoteRef/>
      </w:r>
      <w:r>
        <w:t xml:space="preserve"> Leave open if uncertain</w:t>
      </w:r>
    </w:p>
  </w:footnote>
  <w:footnote w:id="3">
    <w:p w14:paraId="3BB63C78" w14:textId="77777777" w:rsidR="00FB08B8" w:rsidRDefault="00DE00FB">
      <w:pPr>
        <w:pStyle w:val="FootnoteText"/>
      </w:pPr>
      <w:r>
        <w:rPr>
          <w:rStyle w:val="FootnoteReference"/>
        </w:rPr>
        <w:footnoteRef/>
      </w:r>
      <w:r>
        <w:t xml:space="preserve"> Footer will automatically populate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63C71" w14:textId="77777777" w:rsidR="00FB08B8" w:rsidRDefault="00DE00FB">
    <w:pPr>
      <w:pStyle w:val="Header"/>
      <w:jc w:val="right"/>
    </w:pPr>
    <w:r>
      <w:rPr>
        <w:noProof/>
        <w:lang w:val="en-US" w:eastAsia="zh-CN"/>
      </w:rPr>
      <w:drawing>
        <wp:anchor distT="0" distB="0" distL="114300" distR="114300" simplePos="0" relativeHeight="251659264" behindDoc="0" locked="0" layoutInCell="1" allowOverlap="1" wp14:anchorId="3BB63C74" wp14:editId="3BB63C75">
          <wp:simplePos x="0" y="0"/>
          <wp:positionH relativeFrom="column">
            <wp:posOffset>2861945</wp:posOffset>
          </wp:positionH>
          <wp:positionV relativeFrom="paragraph">
            <wp:posOffset>-172720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Picture 27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0B8D6414"/>
    <w:multiLevelType w:val="multilevel"/>
    <w:tmpl w:val="0B8D6414"/>
    <w:lvl w:ilvl="0">
      <w:start w:val="1"/>
      <w:numFmt w:val="decimal"/>
      <w:pStyle w:val="AnnexHeading1"/>
      <w:lvlText w:val="%1"/>
      <w:lvlJc w:val="left"/>
      <w:pPr>
        <w:tabs>
          <w:tab w:val="left" w:pos="567"/>
        </w:tabs>
        <w:ind w:left="567" w:hanging="567"/>
      </w:pPr>
      <w:rPr>
        <w:rFonts w:ascii="Arial Bold" w:hAnsi="Arial Bold" w:hint="default"/>
        <w:b/>
        <w:i w:val="0"/>
        <w:sz w:val="24"/>
      </w:rPr>
    </w:lvl>
    <w:lvl w:ilvl="1">
      <w:start w:val="1"/>
      <w:numFmt w:val="decimal"/>
      <w:pStyle w:val="AnnexHeading2"/>
      <w:lvlText w:val="%1.%2"/>
      <w:lvlJc w:val="left"/>
      <w:pPr>
        <w:tabs>
          <w:tab w:val="left" w:pos="851"/>
        </w:tabs>
        <w:ind w:left="851" w:hanging="851"/>
      </w:pPr>
      <w:rPr>
        <w:rFonts w:ascii="Arial Bold" w:hAnsi="Arial Bold" w:hint="default"/>
        <w:b/>
        <w:i w:val="0"/>
        <w:sz w:val="22"/>
      </w:rPr>
    </w:lvl>
    <w:lvl w:ilvl="2">
      <w:start w:val="1"/>
      <w:numFmt w:val="decimal"/>
      <w:pStyle w:val="AnnexHeading3"/>
      <w:lvlText w:val="%2.%3.%1"/>
      <w:lvlJc w:val="left"/>
      <w:pPr>
        <w:tabs>
          <w:tab w:val="left" w:pos="992"/>
        </w:tabs>
        <w:ind w:left="992" w:hanging="992"/>
      </w:pPr>
      <w:rPr>
        <w:rFonts w:ascii="Arial" w:hAnsi="Arial" w:hint="default"/>
        <w:b w:val="0"/>
        <w:i w:val="0"/>
        <w:sz w:val="22"/>
      </w:rPr>
    </w:lvl>
    <w:lvl w:ilvl="3">
      <w:start w:val="1"/>
      <w:numFmt w:val="decimal"/>
      <w:pStyle w:val="AnnexHeading4"/>
      <w:lvlText w:val="%1.%2.%3.%4"/>
      <w:lvlJc w:val="left"/>
      <w:pPr>
        <w:tabs>
          <w:tab w:val="left"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33478BF"/>
    <w:multiLevelType w:val="multilevel"/>
    <w:tmpl w:val="133478BF"/>
    <w:lvl w:ilvl="0">
      <w:start w:val="1"/>
      <w:numFmt w:val="bullet"/>
      <w:pStyle w:val="InsetList"/>
      <w:lvlText w:val=""/>
      <w:lvlJc w:val="left"/>
      <w:pPr>
        <w:ind w:left="680" w:hanging="396"/>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4F700B"/>
    <w:multiLevelType w:val="multilevel"/>
    <w:tmpl w:val="134F700B"/>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4" w15:restartNumberingAfterBreak="0">
    <w:nsid w:val="16102258"/>
    <w:multiLevelType w:val="multilevel"/>
    <w:tmpl w:val="16102258"/>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5" w15:restartNumberingAfterBreak="0">
    <w:nsid w:val="19A1740F"/>
    <w:multiLevelType w:val="multilevel"/>
    <w:tmpl w:val="19A1740F"/>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vanish w:val="0"/>
        <w:color w:val="00558C"/>
        <w:spacing w:val="0"/>
        <w:kern w:val="0"/>
        <w:position w:val="0"/>
        <w:sz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7E01D9"/>
    <w:multiLevelType w:val="multilevel"/>
    <w:tmpl w:val="1E7E01D9"/>
    <w:lvl w:ilvl="0">
      <w:start w:val="1"/>
      <w:numFmt w:val="decimal"/>
      <w:pStyle w:val="Reference"/>
      <w:lvlText w:val="[%1]"/>
      <w:lvlJc w:val="left"/>
      <w:pPr>
        <w:tabs>
          <w:tab w:val="left" w:pos="0"/>
        </w:tabs>
        <w:ind w:left="567" w:hanging="567"/>
      </w:pPr>
      <w:rPr>
        <w:rFonts w:asciiTheme="minorHAnsi" w:hAnsiTheme="minorHAnsi"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34245C5"/>
    <w:multiLevelType w:val="multilevel"/>
    <w:tmpl w:val="234245C5"/>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8336371"/>
    <w:multiLevelType w:val="multilevel"/>
    <w:tmpl w:val="28336371"/>
    <w:lvl w:ilvl="0">
      <w:start w:val="1"/>
      <w:numFmt w:val="bullet"/>
      <w:pStyle w:val="Tableinsetlist"/>
      <w:lvlText w:val=""/>
      <w:lvlJc w:val="left"/>
      <w:pPr>
        <w:ind w:left="397"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4E1CF1"/>
    <w:multiLevelType w:val="multilevel"/>
    <w:tmpl w:val="2A4E1CF1"/>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BDB2C74"/>
    <w:multiLevelType w:val="multilevel"/>
    <w:tmpl w:val="2BDB2C74"/>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2547343"/>
    <w:multiLevelType w:val="multilevel"/>
    <w:tmpl w:val="32547343"/>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76301AE"/>
    <w:multiLevelType w:val="multilevel"/>
    <w:tmpl w:val="376301AE"/>
    <w:lvl w:ilvl="0">
      <w:start w:val="1"/>
      <w:numFmt w:val="decimal"/>
      <w:pStyle w:val="AppendixHeading1"/>
      <w:lvlText w:val="%1"/>
      <w:lvlJc w:val="left"/>
      <w:pPr>
        <w:tabs>
          <w:tab w:val="left" w:pos="567"/>
        </w:tabs>
        <w:ind w:left="567" w:hanging="567"/>
      </w:pPr>
      <w:rPr>
        <w:rFonts w:ascii="Arial" w:hAnsi="Arial" w:hint="default"/>
        <w:b/>
        <w:i w:val="0"/>
        <w:sz w:val="24"/>
      </w:rPr>
    </w:lvl>
    <w:lvl w:ilvl="1">
      <w:start w:val="1"/>
      <w:numFmt w:val="decimal"/>
      <w:pStyle w:val="AppendixHeading2"/>
      <w:lvlText w:val="%1.%2"/>
      <w:lvlJc w:val="left"/>
      <w:pPr>
        <w:tabs>
          <w:tab w:val="left" w:pos="851"/>
        </w:tabs>
        <w:ind w:left="851" w:hanging="851"/>
      </w:pPr>
      <w:rPr>
        <w:rFonts w:ascii="Arial" w:hAnsi="Arial" w:hint="default"/>
        <w:b/>
        <w:i w:val="0"/>
        <w:sz w:val="22"/>
      </w:rPr>
    </w:lvl>
    <w:lvl w:ilvl="2">
      <w:start w:val="1"/>
      <w:numFmt w:val="decimal"/>
      <w:pStyle w:val="AppendixHeading3"/>
      <w:lvlText w:val="%1.%2.%3"/>
      <w:lvlJc w:val="left"/>
      <w:pPr>
        <w:tabs>
          <w:tab w:val="left" w:pos="992"/>
        </w:tabs>
        <w:ind w:left="992" w:hanging="992"/>
      </w:pPr>
      <w:rPr>
        <w:rFonts w:ascii="Arial" w:hAnsi="Arial" w:hint="default"/>
        <w:b w:val="0"/>
        <w:i w:val="0"/>
        <w:sz w:val="22"/>
      </w:rPr>
    </w:lvl>
    <w:lvl w:ilvl="3">
      <w:start w:val="1"/>
      <w:numFmt w:val="decimal"/>
      <w:pStyle w:val="AppendixHeading4"/>
      <w:lvlText w:val="%1.%2.%3.%4"/>
      <w:lvlJc w:val="left"/>
      <w:pPr>
        <w:tabs>
          <w:tab w:val="left"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4041789"/>
    <w:multiLevelType w:val="multilevel"/>
    <w:tmpl w:val="44041789"/>
    <w:lvl w:ilvl="0">
      <w:start w:val="1"/>
      <w:numFmt w:val="decimal"/>
      <w:pStyle w:val="List1"/>
      <w:lvlText w:val="%1"/>
      <w:lvlJc w:val="left"/>
      <w:pPr>
        <w:tabs>
          <w:tab w:val="left" w:pos="567"/>
        </w:tabs>
        <w:ind w:left="567" w:hanging="567"/>
      </w:pPr>
      <w:rPr>
        <w:rFonts w:ascii="Calibri" w:hAnsi="Calibri" w:hint="default"/>
        <w:b w:val="0"/>
        <w:i w:val="0"/>
        <w:sz w:val="22"/>
        <w:szCs w:val="22"/>
      </w:rPr>
    </w:lvl>
    <w:lvl w:ilvl="1">
      <w:start w:val="1"/>
      <w:numFmt w:val="lowerLetter"/>
      <w:pStyle w:val="List1indent1"/>
      <w:lvlText w:val="%2."/>
      <w:lvlJc w:val="left"/>
      <w:pPr>
        <w:tabs>
          <w:tab w:val="left" w:pos="1134"/>
        </w:tabs>
        <w:ind w:left="1134" w:hanging="567"/>
      </w:pPr>
      <w:rPr>
        <w:rFonts w:hint="default"/>
      </w:rPr>
    </w:lvl>
    <w:lvl w:ilvl="2">
      <w:start w:val="1"/>
      <w:numFmt w:val="lowerRoman"/>
      <w:pStyle w:val="List1indent2"/>
      <w:lvlText w:val="%3."/>
      <w:lvlJc w:val="left"/>
      <w:pPr>
        <w:tabs>
          <w:tab w:val="left"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48011C53"/>
    <w:multiLevelType w:val="multilevel"/>
    <w:tmpl w:val="48011C53"/>
    <w:lvl w:ilvl="0">
      <w:start w:val="1"/>
      <w:numFmt w:val="decimal"/>
      <w:pStyle w:val="AnnexFigure"/>
      <w:lvlText w:val="Figure %1"/>
      <w:lvlJc w:val="left"/>
      <w:pPr>
        <w:tabs>
          <w:tab w:val="left" w:pos="1701"/>
        </w:tabs>
        <w:ind w:left="1701" w:hanging="1701"/>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8D554E7"/>
    <w:multiLevelType w:val="multilevel"/>
    <w:tmpl w:val="48D554E7"/>
    <w:lvl w:ilvl="0">
      <w:start w:val="1"/>
      <w:numFmt w:val="bullet"/>
      <w:pStyle w:val="Bullet1"/>
      <w:lvlText w:val=""/>
      <w:lvlJc w:val="left"/>
      <w:pPr>
        <w:ind w:left="360" w:hanging="360"/>
      </w:pPr>
      <w:rPr>
        <w:rFonts w:ascii="Symbol" w:hAnsi="Symbol" w:hint="default"/>
        <w:color w:val="00558C"/>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B55D23"/>
    <w:multiLevelType w:val="multilevel"/>
    <w:tmpl w:val="51B55D23"/>
    <w:lvl w:ilvl="0">
      <w:start w:val="1"/>
      <w:numFmt w:val="decimal"/>
      <w:pStyle w:val="Table"/>
      <w:lvlText w:val="Table %1"/>
      <w:lvlJc w:val="left"/>
      <w:pPr>
        <w:tabs>
          <w:tab w:val="left" w:pos="1134"/>
        </w:tabs>
        <w:ind w:left="1134" w:hanging="113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EB057A3"/>
    <w:multiLevelType w:val="multilevel"/>
    <w:tmpl w:val="5EB057A3"/>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34C1CBF"/>
    <w:multiLevelType w:val="singleLevel"/>
    <w:tmpl w:val="634C1CBF"/>
    <w:lvl w:ilvl="0">
      <w:start w:val="1"/>
      <w:numFmt w:val="decimal"/>
      <w:pStyle w:val="Figure"/>
      <w:lvlText w:val="Figure %1"/>
      <w:lvlJc w:val="left"/>
      <w:pPr>
        <w:tabs>
          <w:tab w:val="left" w:pos="1134"/>
        </w:tabs>
        <w:ind w:left="1134" w:hanging="1134"/>
      </w:pPr>
      <w:rPr>
        <w:rFonts w:ascii="Arial" w:hAnsi="Arial" w:hint="default"/>
        <w:b w:val="0"/>
        <w:i/>
        <w:sz w:val="22"/>
      </w:rPr>
    </w:lvl>
  </w:abstractNum>
  <w:abstractNum w:abstractNumId="19" w15:restartNumberingAfterBreak="0">
    <w:nsid w:val="67AB4D84"/>
    <w:multiLevelType w:val="multilevel"/>
    <w:tmpl w:val="67AB4D84"/>
    <w:lvl w:ilvl="0">
      <w:start w:val="1"/>
      <w:numFmt w:val="decimal"/>
      <w:pStyle w:val="Heading1"/>
      <w:lvlText w:val="%1."/>
      <w:lvlJc w:val="left"/>
      <w:pPr>
        <w:tabs>
          <w:tab w:val="left"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left"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left"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left"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69E674AF"/>
    <w:multiLevelType w:val="multilevel"/>
    <w:tmpl w:val="69E674AF"/>
    <w:lvl w:ilvl="0">
      <w:start w:val="1"/>
      <w:numFmt w:val="decimal"/>
      <w:pStyle w:val="AnnexTable"/>
      <w:lvlText w:val="Table %1"/>
      <w:lvlJc w:val="left"/>
      <w:pPr>
        <w:tabs>
          <w:tab w:val="left" w:pos="1134"/>
        </w:tabs>
        <w:ind w:left="1134" w:hanging="1134"/>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C9C62AB"/>
    <w:multiLevelType w:val="multilevel"/>
    <w:tmpl w:val="6C9C62AB"/>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22" w15:restartNumberingAfterBreak="0">
    <w:nsid w:val="76D64DA6"/>
    <w:multiLevelType w:val="multilevel"/>
    <w:tmpl w:val="76D64DA6"/>
    <w:lvl w:ilvl="0">
      <w:start w:val="1"/>
      <w:numFmt w:val="bullet"/>
      <w:pStyle w:val="Bullet3"/>
      <w:lvlText w:val="o"/>
      <w:lvlJc w:val="left"/>
      <w:pPr>
        <w:ind w:left="1211"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BB11B89"/>
    <w:multiLevelType w:val="multilevel"/>
    <w:tmpl w:val="7BB11B89"/>
    <w:lvl w:ilvl="0">
      <w:start w:val="1"/>
      <w:numFmt w:val="bullet"/>
      <w:pStyle w:val="Bullet2"/>
      <w:lvlText w:val=""/>
      <w:lvlJc w:val="left"/>
      <w:pPr>
        <w:ind w:left="851" w:hanging="426"/>
      </w:pPr>
      <w:rPr>
        <w:rFonts w:ascii="Symbol" w:hAnsi="Symbol" w:hint="default"/>
        <w:color w:val="B2C1ED"/>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EAB7C5C"/>
    <w:multiLevelType w:val="singleLevel"/>
    <w:tmpl w:val="7EAB7C5C"/>
    <w:lvl w:ilvl="0">
      <w:start w:val="1"/>
      <w:numFmt w:val="decimal"/>
      <w:lvlText w:val="[%1]"/>
      <w:lvlJc w:val="left"/>
      <w:pPr>
        <w:tabs>
          <w:tab w:val="left" w:pos="312"/>
        </w:tabs>
      </w:pPr>
    </w:lvl>
  </w:abstractNum>
  <w:num w:numId="1" w16cid:durableId="983198109">
    <w:abstractNumId w:val="19"/>
  </w:num>
  <w:num w:numId="2" w16cid:durableId="1503543497">
    <w:abstractNumId w:val="0"/>
  </w:num>
  <w:num w:numId="3" w16cid:durableId="2022271047">
    <w:abstractNumId w:val="3"/>
  </w:num>
  <w:num w:numId="4" w16cid:durableId="1717781072">
    <w:abstractNumId w:val="14"/>
  </w:num>
  <w:num w:numId="5" w16cid:durableId="2057655157">
    <w:abstractNumId w:val="1"/>
  </w:num>
  <w:num w:numId="6" w16cid:durableId="1666975385">
    <w:abstractNumId w:val="20"/>
  </w:num>
  <w:num w:numId="7" w16cid:durableId="642193818">
    <w:abstractNumId w:val="15"/>
  </w:num>
  <w:num w:numId="8" w16cid:durableId="1578319812">
    <w:abstractNumId w:val="23"/>
  </w:num>
  <w:num w:numId="9" w16cid:durableId="634262496">
    <w:abstractNumId w:val="22"/>
  </w:num>
  <w:num w:numId="10" w16cid:durableId="1556813206">
    <w:abstractNumId w:val="18"/>
  </w:num>
  <w:num w:numId="11" w16cid:durableId="366179327">
    <w:abstractNumId w:val="13"/>
  </w:num>
  <w:num w:numId="12" w16cid:durableId="1734818212">
    <w:abstractNumId w:val="16"/>
  </w:num>
  <w:num w:numId="13" w16cid:durableId="1594195899">
    <w:abstractNumId w:val="12"/>
  </w:num>
  <w:num w:numId="14" w16cid:durableId="330570850">
    <w:abstractNumId w:val="5"/>
  </w:num>
  <w:num w:numId="15" w16cid:durableId="1674994261">
    <w:abstractNumId w:val="2"/>
  </w:num>
  <w:num w:numId="16" w16cid:durableId="2082633328">
    <w:abstractNumId w:val="4"/>
  </w:num>
  <w:num w:numId="17" w16cid:durableId="996155341">
    <w:abstractNumId w:val="21"/>
  </w:num>
  <w:num w:numId="18" w16cid:durableId="362946647">
    <w:abstractNumId w:val="8"/>
  </w:num>
  <w:num w:numId="19" w16cid:durableId="1013728642">
    <w:abstractNumId w:val="9"/>
  </w:num>
  <w:num w:numId="20" w16cid:durableId="215969936">
    <w:abstractNumId w:val="7"/>
  </w:num>
  <w:num w:numId="21" w16cid:durableId="1346977100">
    <w:abstractNumId w:val="6"/>
  </w:num>
  <w:num w:numId="22" w16cid:durableId="2108498283">
    <w:abstractNumId w:val="17"/>
  </w:num>
  <w:num w:numId="23" w16cid:durableId="2121948615">
    <w:abstractNumId w:val="11"/>
  </w:num>
  <w:num w:numId="24" w16cid:durableId="1902211162">
    <w:abstractNumId w:val="10"/>
  </w:num>
  <w:num w:numId="25" w16cid:durableId="68952369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36B9E"/>
    <w:rsid w:val="00037DF4"/>
    <w:rsid w:val="00042395"/>
    <w:rsid w:val="0004700E"/>
    <w:rsid w:val="0005382D"/>
    <w:rsid w:val="00057FCA"/>
    <w:rsid w:val="00070C13"/>
    <w:rsid w:val="000715C9"/>
    <w:rsid w:val="00084F33"/>
    <w:rsid w:val="000A77A7"/>
    <w:rsid w:val="000B1707"/>
    <w:rsid w:val="000C1B3E"/>
    <w:rsid w:val="000C349E"/>
    <w:rsid w:val="00110203"/>
    <w:rsid w:val="00110AE7"/>
    <w:rsid w:val="00122C26"/>
    <w:rsid w:val="001241C8"/>
    <w:rsid w:val="00151AEE"/>
    <w:rsid w:val="00165593"/>
    <w:rsid w:val="00177F4D"/>
    <w:rsid w:val="00180DDA"/>
    <w:rsid w:val="001A5B37"/>
    <w:rsid w:val="001B2A2D"/>
    <w:rsid w:val="001B737D"/>
    <w:rsid w:val="001C44A3"/>
    <w:rsid w:val="001C77BB"/>
    <w:rsid w:val="001E0E15"/>
    <w:rsid w:val="001F528A"/>
    <w:rsid w:val="001F704E"/>
    <w:rsid w:val="00201722"/>
    <w:rsid w:val="002125B0"/>
    <w:rsid w:val="00221E08"/>
    <w:rsid w:val="002236C9"/>
    <w:rsid w:val="00231D1B"/>
    <w:rsid w:val="00237D7C"/>
    <w:rsid w:val="00243228"/>
    <w:rsid w:val="00251483"/>
    <w:rsid w:val="002536B8"/>
    <w:rsid w:val="00255CAA"/>
    <w:rsid w:val="0025741F"/>
    <w:rsid w:val="00264305"/>
    <w:rsid w:val="00273516"/>
    <w:rsid w:val="00286FEF"/>
    <w:rsid w:val="002A0346"/>
    <w:rsid w:val="002A0929"/>
    <w:rsid w:val="002A4487"/>
    <w:rsid w:val="002B49E9"/>
    <w:rsid w:val="002C3EC4"/>
    <w:rsid w:val="002C632E"/>
    <w:rsid w:val="002D3E8B"/>
    <w:rsid w:val="002D4575"/>
    <w:rsid w:val="002D5C0C"/>
    <w:rsid w:val="002E03D1"/>
    <w:rsid w:val="002E6B74"/>
    <w:rsid w:val="002E6FCA"/>
    <w:rsid w:val="00334410"/>
    <w:rsid w:val="003349C8"/>
    <w:rsid w:val="003351C4"/>
    <w:rsid w:val="00347D4E"/>
    <w:rsid w:val="0035243F"/>
    <w:rsid w:val="00356CD0"/>
    <w:rsid w:val="00362CD9"/>
    <w:rsid w:val="003761CA"/>
    <w:rsid w:val="0038049E"/>
    <w:rsid w:val="00380DAF"/>
    <w:rsid w:val="003972CE"/>
    <w:rsid w:val="003B2635"/>
    <w:rsid w:val="003B28F5"/>
    <w:rsid w:val="003B7B7D"/>
    <w:rsid w:val="003C54CB"/>
    <w:rsid w:val="003C7A2A"/>
    <w:rsid w:val="003D25A2"/>
    <w:rsid w:val="003D2DC1"/>
    <w:rsid w:val="003D69D0"/>
    <w:rsid w:val="003F2918"/>
    <w:rsid w:val="003F430E"/>
    <w:rsid w:val="0041088C"/>
    <w:rsid w:val="0041230E"/>
    <w:rsid w:val="00420A38"/>
    <w:rsid w:val="00426DB3"/>
    <w:rsid w:val="00431B19"/>
    <w:rsid w:val="00432A7A"/>
    <w:rsid w:val="004533B7"/>
    <w:rsid w:val="004661AD"/>
    <w:rsid w:val="004864D9"/>
    <w:rsid w:val="004922DD"/>
    <w:rsid w:val="004D1D85"/>
    <w:rsid w:val="004D3C3A"/>
    <w:rsid w:val="004E1CD1"/>
    <w:rsid w:val="004F7616"/>
    <w:rsid w:val="004F771B"/>
    <w:rsid w:val="0050690E"/>
    <w:rsid w:val="005107EB"/>
    <w:rsid w:val="00521345"/>
    <w:rsid w:val="00526DF0"/>
    <w:rsid w:val="005457F9"/>
    <w:rsid w:val="00545CC4"/>
    <w:rsid w:val="00551FFF"/>
    <w:rsid w:val="005552D9"/>
    <w:rsid w:val="005607A2"/>
    <w:rsid w:val="0057198B"/>
    <w:rsid w:val="00573CFE"/>
    <w:rsid w:val="005969F2"/>
    <w:rsid w:val="00597FAE"/>
    <w:rsid w:val="005A16CC"/>
    <w:rsid w:val="005B32A3"/>
    <w:rsid w:val="005B5A46"/>
    <w:rsid w:val="005C0D44"/>
    <w:rsid w:val="005C566C"/>
    <w:rsid w:val="005C7E69"/>
    <w:rsid w:val="005E262D"/>
    <w:rsid w:val="005F0BBE"/>
    <w:rsid w:val="005F23D3"/>
    <w:rsid w:val="005F3AFA"/>
    <w:rsid w:val="005F7E20"/>
    <w:rsid w:val="00605E43"/>
    <w:rsid w:val="006153BB"/>
    <w:rsid w:val="00631CB2"/>
    <w:rsid w:val="00635ADD"/>
    <w:rsid w:val="00637047"/>
    <w:rsid w:val="006652C3"/>
    <w:rsid w:val="00691FD0"/>
    <w:rsid w:val="00692148"/>
    <w:rsid w:val="006A1A1E"/>
    <w:rsid w:val="006A32A3"/>
    <w:rsid w:val="006A4908"/>
    <w:rsid w:val="006C5948"/>
    <w:rsid w:val="006E0347"/>
    <w:rsid w:val="006E2121"/>
    <w:rsid w:val="006F2A74"/>
    <w:rsid w:val="007058A9"/>
    <w:rsid w:val="007118F5"/>
    <w:rsid w:val="00712AA4"/>
    <w:rsid w:val="007146C4"/>
    <w:rsid w:val="00721AA1"/>
    <w:rsid w:val="00724B67"/>
    <w:rsid w:val="00742016"/>
    <w:rsid w:val="007547F8"/>
    <w:rsid w:val="00762B89"/>
    <w:rsid w:val="00765622"/>
    <w:rsid w:val="00770B6C"/>
    <w:rsid w:val="00774730"/>
    <w:rsid w:val="00780734"/>
    <w:rsid w:val="00783FEA"/>
    <w:rsid w:val="007926DC"/>
    <w:rsid w:val="007A395D"/>
    <w:rsid w:val="007C346C"/>
    <w:rsid w:val="007D63E3"/>
    <w:rsid w:val="0080294B"/>
    <w:rsid w:val="00806256"/>
    <w:rsid w:val="0082480E"/>
    <w:rsid w:val="00850293"/>
    <w:rsid w:val="00851373"/>
    <w:rsid w:val="00851BA6"/>
    <w:rsid w:val="0085654D"/>
    <w:rsid w:val="008602C8"/>
    <w:rsid w:val="00861160"/>
    <w:rsid w:val="00861801"/>
    <w:rsid w:val="0086654F"/>
    <w:rsid w:val="008702A8"/>
    <w:rsid w:val="0087239B"/>
    <w:rsid w:val="00892CA4"/>
    <w:rsid w:val="008A356F"/>
    <w:rsid w:val="008A3ECA"/>
    <w:rsid w:val="008A4653"/>
    <w:rsid w:val="008A4717"/>
    <w:rsid w:val="008A50CC"/>
    <w:rsid w:val="008D1694"/>
    <w:rsid w:val="008D79CB"/>
    <w:rsid w:val="008E28CC"/>
    <w:rsid w:val="008F07BC"/>
    <w:rsid w:val="00904066"/>
    <w:rsid w:val="009237EE"/>
    <w:rsid w:val="0092692B"/>
    <w:rsid w:val="00936C59"/>
    <w:rsid w:val="00943E9C"/>
    <w:rsid w:val="00953F4D"/>
    <w:rsid w:val="00960BB8"/>
    <w:rsid w:val="00964F5C"/>
    <w:rsid w:val="00973B57"/>
    <w:rsid w:val="009831C0"/>
    <w:rsid w:val="009874F9"/>
    <w:rsid w:val="0099161D"/>
    <w:rsid w:val="009A198B"/>
    <w:rsid w:val="009B1BEC"/>
    <w:rsid w:val="009C5F41"/>
    <w:rsid w:val="009E7DB5"/>
    <w:rsid w:val="00A01B17"/>
    <w:rsid w:val="00A0389B"/>
    <w:rsid w:val="00A116A8"/>
    <w:rsid w:val="00A256E7"/>
    <w:rsid w:val="00A26017"/>
    <w:rsid w:val="00A446C9"/>
    <w:rsid w:val="00A477DE"/>
    <w:rsid w:val="00A56C33"/>
    <w:rsid w:val="00A635D6"/>
    <w:rsid w:val="00A72757"/>
    <w:rsid w:val="00A800A9"/>
    <w:rsid w:val="00A8553A"/>
    <w:rsid w:val="00A93AED"/>
    <w:rsid w:val="00AE1319"/>
    <w:rsid w:val="00AE34BB"/>
    <w:rsid w:val="00B0084A"/>
    <w:rsid w:val="00B0520E"/>
    <w:rsid w:val="00B1367A"/>
    <w:rsid w:val="00B226F2"/>
    <w:rsid w:val="00B274DF"/>
    <w:rsid w:val="00B351F6"/>
    <w:rsid w:val="00B56BDF"/>
    <w:rsid w:val="00B65812"/>
    <w:rsid w:val="00B661C7"/>
    <w:rsid w:val="00B80530"/>
    <w:rsid w:val="00B85CD6"/>
    <w:rsid w:val="00B90A27"/>
    <w:rsid w:val="00B93C77"/>
    <w:rsid w:val="00B9554D"/>
    <w:rsid w:val="00BA4DA9"/>
    <w:rsid w:val="00BB2B9F"/>
    <w:rsid w:val="00BB7D9E"/>
    <w:rsid w:val="00BC2334"/>
    <w:rsid w:val="00BC7310"/>
    <w:rsid w:val="00BD3CB8"/>
    <w:rsid w:val="00BD4E6F"/>
    <w:rsid w:val="00BE700D"/>
    <w:rsid w:val="00BF32F0"/>
    <w:rsid w:val="00BF4DCE"/>
    <w:rsid w:val="00C02DDD"/>
    <w:rsid w:val="00C05CE5"/>
    <w:rsid w:val="00C37A6E"/>
    <w:rsid w:val="00C52A4D"/>
    <w:rsid w:val="00C6171E"/>
    <w:rsid w:val="00C865DF"/>
    <w:rsid w:val="00CA6F2C"/>
    <w:rsid w:val="00CC79CE"/>
    <w:rsid w:val="00CF1871"/>
    <w:rsid w:val="00D019CE"/>
    <w:rsid w:val="00D1133E"/>
    <w:rsid w:val="00D15CA8"/>
    <w:rsid w:val="00D17A34"/>
    <w:rsid w:val="00D26628"/>
    <w:rsid w:val="00D332B3"/>
    <w:rsid w:val="00D423E5"/>
    <w:rsid w:val="00D432FD"/>
    <w:rsid w:val="00D55207"/>
    <w:rsid w:val="00D60825"/>
    <w:rsid w:val="00D66CAA"/>
    <w:rsid w:val="00D81801"/>
    <w:rsid w:val="00D92B45"/>
    <w:rsid w:val="00D95962"/>
    <w:rsid w:val="00DC389B"/>
    <w:rsid w:val="00DE00FB"/>
    <w:rsid w:val="00DE2FEE"/>
    <w:rsid w:val="00DF179A"/>
    <w:rsid w:val="00DF24E8"/>
    <w:rsid w:val="00E00BE9"/>
    <w:rsid w:val="00E04761"/>
    <w:rsid w:val="00E22A11"/>
    <w:rsid w:val="00E31E5C"/>
    <w:rsid w:val="00E44DD2"/>
    <w:rsid w:val="00E558C3"/>
    <w:rsid w:val="00E55927"/>
    <w:rsid w:val="00E912A6"/>
    <w:rsid w:val="00EA4844"/>
    <w:rsid w:val="00EA4D9C"/>
    <w:rsid w:val="00EA5A97"/>
    <w:rsid w:val="00EB75EE"/>
    <w:rsid w:val="00EE4C1D"/>
    <w:rsid w:val="00EF3685"/>
    <w:rsid w:val="00F04350"/>
    <w:rsid w:val="00F133DB"/>
    <w:rsid w:val="00F159EB"/>
    <w:rsid w:val="00F17B42"/>
    <w:rsid w:val="00F25BF4"/>
    <w:rsid w:val="00F267DB"/>
    <w:rsid w:val="00F410FA"/>
    <w:rsid w:val="00F46F6F"/>
    <w:rsid w:val="00F60608"/>
    <w:rsid w:val="00F62217"/>
    <w:rsid w:val="00F71ACC"/>
    <w:rsid w:val="00F813D2"/>
    <w:rsid w:val="00F9561A"/>
    <w:rsid w:val="00FB08B8"/>
    <w:rsid w:val="00FB17A9"/>
    <w:rsid w:val="00FB527C"/>
    <w:rsid w:val="00FB6F75"/>
    <w:rsid w:val="00FC0EB3"/>
    <w:rsid w:val="00FD675E"/>
    <w:rsid w:val="00FE5674"/>
    <w:rsid w:val="04714B20"/>
    <w:rsid w:val="053A3D79"/>
    <w:rsid w:val="0A1C72DC"/>
    <w:rsid w:val="0B903ADE"/>
    <w:rsid w:val="0DB8556E"/>
    <w:rsid w:val="11056D1C"/>
    <w:rsid w:val="119B4F8B"/>
    <w:rsid w:val="13E26EA1"/>
    <w:rsid w:val="15E909BB"/>
    <w:rsid w:val="18982224"/>
    <w:rsid w:val="1E1B62F5"/>
    <w:rsid w:val="1EE95587"/>
    <w:rsid w:val="20C242E2"/>
    <w:rsid w:val="20CE0FB0"/>
    <w:rsid w:val="258C4EBE"/>
    <w:rsid w:val="27082C6B"/>
    <w:rsid w:val="294C5091"/>
    <w:rsid w:val="2A16744D"/>
    <w:rsid w:val="2A426369"/>
    <w:rsid w:val="2A495A74"/>
    <w:rsid w:val="2CDA29B3"/>
    <w:rsid w:val="2D4C2C13"/>
    <w:rsid w:val="306805D5"/>
    <w:rsid w:val="328F5FEE"/>
    <w:rsid w:val="32A216A1"/>
    <w:rsid w:val="34086058"/>
    <w:rsid w:val="34DA5C46"/>
    <w:rsid w:val="366C6F02"/>
    <w:rsid w:val="374B3602"/>
    <w:rsid w:val="37E163DF"/>
    <w:rsid w:val="3D346110"/>
    <w:rsid w:val="3F2971CC"/>
    <w:rsid w:val="42051E29"/>
    <w:rsid w:val="43F876CA"/>
    <w:rsid w:val="45B46040"/>
    <w:rsid w:val="45C04D0F"/>
    <w:rsid w:val="47FE3C88"/>
    <w:rsid w:val="48AE14E0"/>
    <w:rsid w:val="48F75AD9"/>
    <w:rsid w:val="4C8702E0"/>
    <w:rsid w:val="4D186EB4"/>
    <w:rsid w:val="4D783DF7"/>
    <w:rsid w:val="4F350502"/>
    <w:rsid w:val="50C912AD"/>
    <w:rsid w:val="53F561A1"/>
    <w:rsid w:val="545D6FE6"/>
    <w:rsid w:val="55FE5622"/>
    <w:rsid w:val="591E1747"/>
    <w:rsid w:val="59421F1D"/>
    <w:rsid w:val="59EE16C8"/>
    <w:rsid w:val="5C545D9D"/>
    <w:rsid w:val="6192252E"/>
    <w:rsid w:val="62D96C8E"/>
    <w:rsid w:val="63EB30A7"/>
    <w:rsid w:val="66DF6CAA"/>
    <w:rsid w:val="66FB3677"/>
    <w:rsid w:val="67306FF9"/>
    <w:rsid w:val="6AC07C4F"/>
    <w:rsid w:val="6D41133C"/>
    <w:rsid w:val="6E00367A"/>
    <w:rsid w:val="6EE2543C"/>
    <w:rsid w:val="6FAC7C04"/>
    <w:rsid w:val="704C0A9F"/>
    <w:rsid w:val="73375A36"/>
    <w:rsid w:val="7479535C"/>
    <w:rsid w:val="759074BE"/>
    <w:rsid w:val="761C7166"/>
    <w:rsid w:val="7A2465E9"/>
    <w:rsid w:val="7A7C6425"/>
    <w:rsid w:val="7B4F07F8"/>
    <w:rsid w:val="7BB51BEE"/>
    <w:rsid w:val="7C541407"/>
    <w:rsid w:val="7C815F74"/>
    <w:rsid w:val="7E4228E3"/>
    <w:rsid w:val="7FFE6A99"/>
    <w:rsid w:val="DF4FB2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BB63C2D"/>
  <w15:docId w15:val="{D07AC118-CD4E-46D2-9455-D64885A82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nhideWhenUsed="1"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iPriority="0" w:unhideWhenUsed="1"/>
    <w:lsdException w:name="List Number" w:semiHidden="1"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uiPriority="0" w:qFormat="1"/>
    <w:lsdException w:name="Body Text Indent 3" w:semiHidden="1" w:uiPriority="0" w:unhideWhenUsed="1" w:qFormat="1"/>
    <w:lsdException w:name="Block Text" w:semiHidden="1" w:unhideWhenUsed="1"/>
    <w:lsdException w:name="Hyperlink" w:unhideWhenUsed="1" w:qFormat="1"/>
    <w:lsdException w:name="FollowedHyperlink" w:uiPriority="0" w:qFormat="1"/>
    <w:lsdException w:name="Strong" w:uiPriority="22" w:qFormat="1"/>
    <w:lsdException w:name="Emphasis" w:uiPriority="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uiPriority="0"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qFormat="1"/>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pPr>
      <w:keepNext/>
      <w:keepLines/>
      <w:numPr>
        <w:numId w:val="1"/>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pPr>
      <w:numPr>
        <w:ilvl w:val="1"/>
      </w:numPr>
      <w:ind w:right="709"/>
      <w:outlineLvl w:val="1"/>
    </w:pPr>
    <w:rPr>
      <w:bCs w:val="0"/>
      <w:sz w:val="24"/>
    </w:rPr>
  </w:style>
  <w:style w:type="paragraph" w:styleId="Heading3">
    <w:name w:val="heading 3"/>
    <w:basedOn w:val="Heading2"/>
    <w:next w:val="BodyText"/>
    <w:link w:val="Heading3Char"/>
    <w:qFormat/>
    <w:pPr>
      <w:numPr>
        <w:ilvl w:val="2"/>
      </w:numPr>
      <w:spacing w:before="120" w:after="120"/>
      <w:ind w:right="851"/>
      <w:outlineLvl w:val="2"/>
    </w:pPr>
    <w:rPr>
      <w:bCs/>
      <w:caps w:val="0"/>
      <w:smallCaps/>
    </w:rPr>
  </w:style>
  <w:style w:type="paragraph" w:styleId="Heading4">
    <w:name w:val="heading 4"/>
    <w:basedOn w:val="Heading3"/>
    <w:next w:val="BodyText"/>
    <w:link w:val="Heading4Char"/>
    <w:qFormat/>
    <w:pPr>
      <w:numPr>
        <w:ilvl w:val="3"/>
      </w:numPr>
      <w:ind w:right="992"/>
      <w:outlineLvl w:val="3"/>
    </w:pPr>
    <w:rPr>
      <w:bCs w:val="0"/>
      <w:iCs/>
      <w:smallCaps w:val="0"/>
      <w:sz w:val="22"/>
    </w:rPr>
  </w:style>
  <w:style w:type="paragraph" w:styleId="Heading5">
    <w:name w:val="heading 5"/>
    <w:basedOn w:val="Heading4"/>
    <w:next w:val="Normal"/>
    <w:link w:val="Heading5Char"/>
    <w:qFormat/>
    <w:pPr>
      <w:numPr>
        <w:ilvl w:val="4"/>
      </w:numPr>
      <w:spacing w:before="200"/>
      <w:ind w:left="1701" w:hanging="1701"/>
      <w:outlineLvl w:val="4"/>
    </w:pPr>
    <w:rPr>
      <w:b w:val="0"/>
    </w:rPr>
  </w:style>
  <w:style w:type="paragraph" w:styleId="Heading6">
    <w:name w:val="heading 6"/>
    <w:basedOn w:val="Normal"/>
    <w:next w:val="Normal"/>
    <w:link w:val="Heading6Char"/>
    <w:qFormat/>
    <w:pPr>
      <w:keepNext/>
      <w:keepLines/>
      <w:spacing w:before="200"/>
      <w:outlineLvl w:val="5"/>
    </w:pPr>
    <w:rPr>
      <w:rFonts w:asciiTheme="majorHAnsi" w:eastAsiaTheme="majorEastAsia" w:hAnsiTheme="majorHAnsi" w:cstheme="majorBidi"/>
      <w:i/>
      <w:iCs/>
      <w:color w:val="244061" w:themeColor="accent1" w:themeShade="80"/>
    </w:rPr>
  </w:style>
  <w:style w:type="paragraph" w:styleId="Heading7">
    <w:name w:val="heading 7"/>
    <w:basedOn w:val="Normal"/>
    <w:next w:val="Normal"/>
    <w:link w:val="Heading7Char"/>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pPr>
      <w:spacing w:after="120"/>
      <w:jc w:val="both"/>
    </w:pPr>
    <w:rPr>
      <w:sz w:val="22"/>
    </w:rPr>
  </w:style>
  <w:style w:type="paragraph" w:styleId="TOC7">
    <w:name w:val="toc 7"/>
    <w:basedOn w:val="Normal"/>
    <w:next w:val="Normal"/>
    <w:qFormat/>
    <w:pPr>
      <w:spacing w:line="240" w:lineRule="auto"/>
      <w:ind w:left="1200"/>
    </w:pPr>
    <w:rPr>
      <w:rFonts w:ascii="Arial" w:eastAsia="Times New Roman" w:hAnsi="Arial" w:cs="Times New Roman"/>
      <w:sz w:val="20"/>
      <w:szCs w:val="20"/>
    </w:rPr>
  </w:style>
  <w:style w:type="paragraph" w:styleId="ListNumber">
    <w:name w:val="List Number"/>
    <w:basedOn w:val="Normal"/>
    <w:semiHidden/>
    <w:qFormat/>
    <w:pPr>
      <w:numPr>
        <w:numId w:val="2"/>
      </w:numPr>
      <w:contextualSpacing/>
    </w:pPr>
  </w:style>
  <w:style w:type="paragraph" w:styleId="Caption">
    <w:name w:val="caption"/>
    <w:basedOn w:val="Normal"/>
    <w:next w:val="Normal"/>
    <w:uiPriority w:val="35"/>
    <w:qFormat/>
    <w:rPr>
      <w:b/>
      <w:bCs/>
      <w:i/>
      <w:color w:val="575756"/>
      <w:sz w:val="22"/>
      <w:u w:val="single"/>
    </w:rPr>
  </w:style>
  <w:style w:type="paragraph" w:styleId="DocumentMap">
    <w:name w:val="Document Map"/>
    <w:basedOn w:val="Normal"/>
    <w:link w:val="DocumentMapChar"/>
    <w:qFormat/>
    <w:pPr>
      <w:shd w:val="clear" w:color="auto" w:fill="000080"/>
      <w:spacing w:line="240" w:lineRule="auto"/>
    </w:pPr>
    <w:rPr>
      <w:rFonts w:ascii="Tahoma" w:eastAsia="Times New Roman" w:hAnsi="Tahoma" w:cs="Times New Roman"/>
      <w:sz w:val="20"/>
      <w:szCs w:val="24"/>
      <w:lang w:val="de-DE" w:eastAsia="de-DE"/>
    </w:rPr>
  </w:style>
  <w:style w:type="paragraph" w:styleId="CommentText">
    <w:name w:val="annotation text"/>
    <w:basedOn w:val="Normal"/>
    <w:link w:val="CommentTextChar"/>
    <w:unhideWhenUsed/>
    <w:qFormat/>
    <w:pPr>
      <w:spacing w:line="240" w:lineRule="auto"/>
    </w:pPr>
    <w:rPr>
      <w:sz w:val="24"/>
      <w:szCs w:val="24"/>
    </w:rPr>
  </w:style>
  <w:style w:type="paragraph" w:styleId="BodyTextIndent">
    <w:name w:val="Body Text Indent"/>
    <w:basedOn w:val="Normal"/>
    <w:link w:val="BodyTextIndentChar"/>
    <w:qFormat/>
    <w:pPr>
      <w:spacing w:after="120"/>
      <w:ind w:left="567"/>
    </w:pPr>
  </w:style>
  <w:style w:type="paragraph" w:styleId="ListNumber3">
    <w:name w:val="List Number 3"/>
    <w:basedOn w:val="Normal"/>
    <w:uiPriority w:val="99"/>
    <w:unhideWhenUsed/>
    <w:qFormat/>
    <w:pPr>
      <w:contextualSpacing/>
    </w:pPr>
  </w:style>
  <w:style w:type="paragraph" w:styleId="TOC5">
    <w:name w:val="toc 5"/>
    <w:basedOn w:val="Normal"/>
    <w:next w:val="Normal"/>
    <w:uiPriority w:val="39"/>
    <w:qFormat/>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3">
    <w:name w:val="toc 3"/>
    <w:basedOn w:val="Normal"/>
    <w:next w:val="Normal"/>
    <w:uiPriority w:val="39"/>
    <w:unhideWhenUsed/>
    <w:qFormat/>
    <w:pPr>
      <w:tabs>
        <w:tab w:val="right" w:leader="dot" w:pos="9781"/>
      </w:tabs>
      <w:spacing w:after="60"/>
      <w:ind w:left="1134" w:hanging="709"/>
    </w:pPr>
    <w:rPr>
      <w:color w:val="00558C"/>
    </w:rPr>
  </w:style>
  <w:style w:type="paragraph" w:styleId="TOC8">
    <w:name w:val="toc 8"/>
    <w:basedOn w:val="Normal"/>
    <w:next w:val="Normal"/>
    <w:qFormat/>
    <w:pPr>
      <w:spacing w:line="240" w:lineRule="auto"/>
      <w:ind w:left="1440"/>
    </w:pPr>
    <w:rPr>
      <w:rFonts w:ascii="Arial" w:eastAsia="Times New Roman" w:hAnsi="Arial" w:cs="Times New Roman"/>
      <w:sz w:val="20"/>
      <w:szCs w:val="20"/>
    </w:rPr>
  </w:style>
  <w:style w:type="paragraph" w:styleId="BodyTextIndent2">
    <w:name w:val="Body Text Indent 2"/>
    <w:basedOn w:val="Normal"/>
    <w:link w:val="BodyTextIndent2Char"/>
    <w:qFormat/>
    <w:pPr>
      <w:spacing w:after="120"/>
      <w:ind w:left="1134"/>
      <w:jc w:val="both"/>
    </w:pPr>
    <w:rPr>
      <w:lang w:eastAsia="de-DE"/>
    </w:rPr>
  </w:style>
  <w:style w:type="paragraph" w:styleId="BalloonText">
    <w:name w:val="Balloon Text"/>
    <w:basedOn w:val="Normal"/>
    <w:link w:val="BalloonTextChar"/>
    <w:qFormat/>
    <w:pPr>
      <w:spacing w:line="240" w:lineRule="auto"/>
    </w:pPr>
    <w:rPr>
      <w:rFonts w:ascii="Tahoma" w:hAnsi="Tahoma" w:cs="Tahoma"/>
      <w:sz w:val="16"/>
      <w:szCs w:val="16"/>
    </w:rPr>
  </w:style>
  <w:style w:type="paragraph" w:styleId="Footer">
    <w:name w:val="footer"/>
    <w:link w:val="FooterChar"/>
    <w:qFormat/>
    <w:pPr>
      <w:spacing w:line="240" w:lineRule="exact"/>
    </w:pPr>
    <w:rPr>
      <w:rFonts w:asciiTheme="minorHAnsi" w:eastAsiaTheme="minorHAnsi" w:hAnsiTheme="minorHAnsi" w:cstheme="minorBidi"/>
      <w:szCs w:val="22"/>
      <w:lang w:eastAsia="en-US"/>
    </w:rPr>
  </w:style>
  <w:style w:type="paragraph" w:styleId="Header">
    <w:name w:val="header"/>
    <w:link w:val="HeaderChar"/>
    <w:qFormat/>
    <w:pPr>
      <w:spacing w:line="240" w:lineRule="exact"/>
    </w:pPr>
    <w:rPr>
      <w:rFonts w:asciiTheme="minorHAnsi" w:eastAsiaTheme="minorHAnsi" w:hAnsiTheme="minorHAnsi" w:cstheme="minorBidi"/>
      <w:szCs w:val="22"/>
      <w:lang w:eastAsia="en-US"/>
    </w:rPr>
  </w:style>
  <w:style w:type="paragraph" w:styleId="TOC1">
    <w:name w:val="toc 1"/>
    <w:basedOn w:val="Normal"/>
    <w:next w:val="Normal"/>
    <w:uiPriority w:val="39"/>
    <w:qFormat/>
    <w:pPr>
      <w:tabs>
        <w:tab w:val="right" w:leader="dot" w:pos="9781"/>
      </w:tabs>
      <w:spacing w:after="40" w:line="300" w:lineRule="atLeast"/>
      <w:ind w:left="425" w:right="425" w:hanging="425"/>
    </w:pPr>
    <w:rPr>
      <w:b/>
      <w:caps/>
      <w:color w:val="4F81BD" w:themeColor="accent1"/>
      <w:sz w:val="22"/>
    </w:rPr>
  </w:style>
  <w:style w:type="paragraph" w:styleId="TOC4">
    <w:name w:val="toc 4"/>
    <w:basedOn w:val="Normal"/>
    <w:next w:val="Normal"/>
    <w:uiPriority w:val="39"/>
    <w:unhideWhenUsed/>
    <w:qFormat/>
    <w:pPr>
      <w:tabs>
        <w:tab w:val="right" w:leader="dot" w:pos="9781"/>
        <w:tab w:val="right" w:leader="dot" w:pos="10195"/>
      </w:tabs>
      <w:ind w:left="1418" w:right="425" w:hanging="1418"/>
    </w:pPr>
    <w:rPr>
      <w:b/>
      <w:caps/>
      <w:color w:val="00558C"/>
      <w:sz w:val="22"/>
    </w:rPr>
  </w:style>
  <w:style w:type="paragraph" w:styleId="Subtitle">
    <w:name w:val="Subtitle"/>
    <w:basedOn w:val="Normal"/>
    <w:link w:val="SubtitleChar"/>
    <w:qFormat/>
    <w:pPr>
      <w:spacing w:after="60"/>
      <w:jc w:val="center"/>
      <w:outlineLvl w:val="1"/>
    </w:pPr>
    <w:rPr>
      <w:rFonts w:cs="Arial"/>
    </w:rPr>
  </w:style>
  <w:style w:type="paragraph" w:styleId="List">
    <w:name w:val="List"/>
    <w:basedOn w:val="Normal"/>
    <w:uiPriority w:val="99"/>
    <w:unhideWhenUsed/>
    <w:qFormat/>
    <w:pPr>
      <w:ind w:left="360" w:hanging="360"/>
      <w:contextualSpacing/>
    </w:pPr>
    <w:rPr>
      <w:sz w:val="22"/>
    </w:rPr>
  </w:style>
  <w:style w:type="paragraph" w:styleId="FootnoteText">
    <w:name w:val="footnote text"/>
    <w:basedOn w:val="Normal"/>
    <w:link w:val="FootnoteTextChar"/>
    <w:uiPriority w:val="99"/>
    <w:unhideWhenUsed/>
    <w:qFormat/>
    <w:pPr>
      <w:tabs>
        <w:tab w:val="left" w:pos="425"/>
      </w:tabs>
      <w:spacing w:line="240" w:lineRule="auto"/>
      <w:ind w:left="425" w:hanging="425"/>
    </w:pPr>
    <w:rPr>
      <w:szCs w:val="24"/>
      <w:vertAlign w:val="superscript"/>
    </w:rPr>
  </w:style>
  <w:style w:type="paragraph" w:styleId="TOC6">
    <w:name w:val="toc 6"/>
    <w:basedOn w:val="Normal"/>
    <w:next w:val="Normal"/>
    <w:qFormat/>
    <w:pPr>
      <w:spacing w:line="240" w:lineRule="auto"/>
      <w:ind w:left="960"/>
    </w:pPr>
    <w:rPr>
      <w:rFonts w:ascii="Arial" w:eastAsia="Times New Roman" w:hAnsi="Arial" w:cs="Times New Roman"/>
      <w:sz w:val="20"/>
      <w:szCs w:val="20"/>
    </w:rPr>
  </w:style>
  <w:style w:type="paragraph" w:styleId="BodyTextIndent3">
    <w:name w:val="Body Text Indent 3"/>
    <w:basedOn w:val="Normal"/>
    <w:link w:val="BodyTextIndent3Char"/>
    <w:semiHidden/>
    <w:unhideWhenUsed/>
    <w:qFormat/>
    <w:pPr>
      <w:spacing w:after="120"/>
      <w:ind w:left="360"/>
    </w:pPr>
    <w:rPr>
      <w:sz w:val="16"/>
      <w:szCs w:val="16"/>
    </w:rPr>
  </w:style>
  <w:style w:type="paragraph" w:styleId="TableofFigures">
    <w:name w:val="table of figures"/>
    <w:basedOn w:val="Normal"/>
    <w:next w:val="Normal"/>
    <w:uiPriority w:val="99"/>
    <w:qFormat/>
    <w:pPr>
      <w:tabs>
        <w:tab w:val="right" w:leader="dot" w:pos="9781"/>
      </w:tabs>
      <w:spacing w:after="60"/>
      <w:ind w:left="1276" w:right="425" w:hanging="1276"/>
    </w:pPr>
    <w:rPr>
      <w:i/>
      <w:color w:val="00558C"/>
      <w:sz w:val="22"/>
    </w:rPr>
  </w:style>
  <w:style w:type="paragraph" w:styleId="TOC2">
    <w:name w:val="toc 2"/>
    <w:basedOn w:val="Normal"/>
    <w:next w:val="Normal"/>
    <w:uiPriority w:val="39"/>
    <w:qFormat/>
    <w:pPr>
      <w:tabs>
        <w:tab w:val="right" w:leader="dot" w:pos="9781"/>
      </w:tabs>
      <w:spacing w:after="40" w:line="300" w:lineRule="atLeast"/>
      <w:ind w:left="709" w:right="425" w:hanging="709"/>
    </w:pPr>
    <w:rPr>
      <w:color w:val="4F81BD" w:themeColor="accent1"/>
      <w:sz w:val="22"/>
    </w:rPr>
  </w:style>
  <w:style w:type="paragraph" w:styleId="TOC9">
    <w:name w:val="toc 9"/>
    <w:basedOn w:val="Normal"/>
    <w:next w:val="Normal"/>
    <w:qFormat/>
    <w:pPr>
      <w:spacing w:line="240" w:lineRule="auto"/>
      <w:ind w:left="1680"/>
    </w:pPr>
    <w:rPr>
      <w:rFonts w:ascii="Arial" w:eastAsia="Times New Roman" w:hAnsi="Arial" w:cs="Times New Roman"/>
      <w:sz w:val="20"/>
      <w:szCs w:val="20"/>
    </w:rPr>
  </w:style>
  <w:style w:type="paragraph" w:styleId="NormalWeb">
    <w:name w:val="Normal (Web)"/>
    <w:basedOn w:val="Normal"/>
    <w:uiPriority w:val="99"/>
    <w:qFormat/>
    <w:pPr>
      <w:spacing w:line="240" w:lineRule="auto"/>
    </w:pPr>
    <w:rPr>
      <w:rFonts w:ascii="Arial" w:eastAsia="Times New Roman" w:hAnsi="Arial" w:cs="Times New Roman"/>
      <w:sz w:val="22"/>
      <w:szCs w:val="24"/>
    </w:rPr>
  </w:style>
  <w:style w:type="paragraph" w:styleId="Index1">
    <w:name w:val="index 1"/>
    <w:basedOn w:val="Normal"/>
    <w:next w:val="Normal"/>
    <w:semiHidden/>
    <w:unhideWhenUsed/>
    <w:qFormat/>
    <w:pPr>
      <w:spacing w:line="240" w:lineRule="auto"/>
      <w:ind w:left="180" w:hanging="180"/>
    </w:pPr>
  </w:style>
  <w:style w:type="paragraph" w:styleId="Title">
    <w:name w:val="Title"/>
    <w:basedOn w:val="Normal"/>
    <w:link w:val="TitleChar"/>
    <w:qFormat/>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59"/>
    <w:qFormat/>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styleId="MediumShading1">
    <w:name w:val="Medium Shading 1"/>
    <w:basedOn w:val="TableNormal"/>
    <w:uiPriority w:val="63"/>
    <w:qFormat/>
    <w:rPr>
      <w:rFonts w:asciiTheme="minorHAnsi" w:eastAsiaTheme="minorHAnsi" w:hAnsiTheme="minorHAnsi" w:cstheme="minorBidi"/>
      <w:sz w:val="22"/>
      <w:szCs w:val="22"/>
      <w:lang w:val="fr-FR"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auto"/>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auto"/>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auto"/>
          <w:tl2br w:val="nil"/>
          <w:tr2bl w:val="nil"/>
        </w:tcBorders>
        <w:shd w:val="clear" w:color="auto" w:fill="F2DBDB" w:themeFill="accent2" w:themeFillTint="33"/>
      </w:tcPr>
    </w:tblStylePr>
  </w:style>
  <w:style w:type="character" w:styleId="Strong">
    <w:name w:val="Strong"/>
    <w:basedOn w:val="DefaultParagraphFont"/>
    <w:uiPriority w:val="22"/>
    <w:qFormat/>
    <w:rPr>
      <w:b/>
      <w:bCs/>
    </w:rPr>
  </w:style>
  <w:style w:type="character" w:styleId="PageNumber">
    <w:name w:val="page number"/>
    <w:qFormat/>
    <w:rPr>
      <w:rFonts w:asciiTheme="minorHAnsi" w:hAnsiTheme="minorHAnsi"/>
      <w:sz w:val="15"/>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basedOn w:val="DefaultParagraphFont"/>
    <w:uiPriority w:val="99"/>
    <w:unhideWhenUsed/>
    <w:qFormat/>
    <w:rPr>
      <w:color w:val="4F81BD" w:themeColor="accent1"/>
      <w:u w:val="single"/>
    </w:rPr>
  </w:style>
  <w:style w:type="character" w:styleId="CommentReference">
    <w:name w:val="annotation reference"/>
    <w:basedOn w:val="DefaultParagraphFont"/>
    <w:unhideWhenUsed/>
    <w:qFormat/>
    <w:rPr>
      <w:sz w:val="18"/>
      <w:szCs w:val="18"/>
      <w:lang w:val="en-GB"/>
    </w:rPr>
  </w:style>
  <w:style w:type="character" w:styleId="HTMLCite">
    <w:name w:val="HTML Cite"/>
    <w:qFormat/>
    <w:rPr>
      <w:i/>
      <w:iCs/>
    </w:rPr>
  </w:style>
  <w:style w:type="character" w:styleId="FootnoteReference">
    <w:name w:val="footnote reference"/>
    <w:uiPriority w:val="99"/>
    <w:qFormat/>
    <w:rPr>
      <w:rFonts w:asciiTheme="minorHAnsi" w:hAnsiTheme="minorHAnsi"/>
      <w:sz w:val="20"/>
      <w:vertAlign w:val="superscript"/>
    </w:rPr>
  </w:style>
  <w:style w:type="character" w:customStyle="1" w:styleId="Heading1Char">
    <w:name w:val="Heading 1 Char"/>
    <w:basedOn w:val="DefaultParagraphFont"/>
    <w:link w:val="Heading1"/>
    <w:qFormat/>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qFormat/>
    <w:rPr>
      <w:rFonts w:asciiTheme="majorHAnsi" w:eastAsiaTheme="majorEastAsia" w:hAnsiTheme="majorHAnsi" w:cstheme="majorBidi"/>
      <w:b/>
      <w:caps/>
      <w:color w:val="00558C"/>
      <w:sz w:val="24"/>
      <w:szCs w:val="24"/>
      <w:lang w:eastAsia="en-US"/>
    </w:rPr>
  </w:style>
  <w:style w:type="paragraph" w:customStyle="1" w:styleId="Annex">
    <w:name w:val="Annex"/>
    <w:next w:val="BodyText"/>
    <w:link w:val="AnnexChar"/>
    <w:qFormat/>
    <w:pPr>
      <w:numPr>
        <w:numId w:val="3"/>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qFormat/>
    <w:pPr>
      <w:numPr>
        <w:numId w:val="4"/>
      </w:numPr>
      <w:spacing w:before="120" w:after="120"/>
      <w:jc w:val="center"/>
    </w:pPr>
    <w:rPr>
      <w:i/>
    </w:rPr>
  </w:style>
  <w:style w:type="paragraph" w:customStyle="1" w:styleId="AnnexHeading1">
    <w:name w:val="Annex Heading 1"/>
    <w:basedOn w:val="Normal"/>
    <w:next w:val="BodyText"/>
    <w:qFormat/>
    <w:pPr>
      <w:numPr>
        <w:numId w:val="5"/>
      </w:numPr>
      <w:spacing w:before="120" w:after="120"/>
    </w:pPr>
    <w:rPr>
      <w:rFonts w:cs="Arial"/>
      <w:b/>
      <w:caps/>
      <w:sz w:val="24"/>
    </w:rPr>
  </w:style>
  <w:style w:type="paragraph" w:customStyle="1" w:styleId="AnnexHeading2">
    <w:name w:val="Annex Heading 2"/>
    <w:basedOn w:val="Normal"/>
    <w:next w:val="BodyText"/>
    <w:qFormat/>
    <w:pPr>
      <w:numPr>
        <w:ilvl w:val="1"/>
        <w:numId w:val="5"/>
      </w:numPr>
      <w:spacing w:before="120" w:after="120"/>
    </w:pPr>
    <w:rPr>
      <w:rFonts w:cs="Arial"/>
      <w:b/>
    </w:rPr>
  </w:style>
  <w:style w:type="paragraph" w:customStyle="1" w:styleId="AnnexHeading3">
    <w:name w:val="Annex Heading 3"/>
    <w:basedOn w:val="Normal"/>
    <w:next w:val="Normal"/>
    <w:qFormat/>
    <w:pPr>
      <w:numPr>
        <w:ilvl w:val="2"/>
        <w:numId w:val="5"/>
      </w:numPr>
      <w:spacing w:before="120" w:after="120"/>
    </w:pPr>
    <w:rPr>
      <w:rFonts w:cs="Arial"/>
    </w:rPr>
  </w:style>
  <w:style w:type="paragraph" w:customStyle="1" w:styleId="AnnexHeading4">
    <w:name w:val="Annex Heading 4"/>
    <w:basedOn w:val="Normal"/>
    <w:next w:val="BodyText"/>
    <w:qFormat/>
    <w:pPr>
      <w:numPr>
        <w:ilvl w:val="3"/>
        <w:numId w:val="5"/>
      </w:numPr>
      <w:spacing w:before="120" w:after="120"/>
    </w:pPr>
    <w:rPr>
      <w:rFonts w:cs="Arial"/>
    </w:rPr>
  </w:style>
  <w:style w:type="paragraph" w:customStyle="1" w:styleId="AnnexTable">
    <w:name w:val="Annex Table"/>
    <w:basedOn w:val="Normal"/>
    <w:next w:val="Normal"/>
    <w:qFormat/>
    <w:pPr>
      <w:numPr>
        <w:numId w:val="6"/>
      </w:numPr>
      <w:tabs>
        <w:tab w:val="left" w:pos="1418"/>
      </w:tabs>
      <w:spacing w:before="120" w:after="120"/>
      <w:jc w:val="center"/>
    </w:pPr>
    <w:rPr>
      <w:i/>
    </w:rPr>
  </w:style>
  <w:style w:type="character" w:customStyle="1" w:styleId="BodyTextChar">
    <w:name w:val="Body Text Char"/>
    <w:basedOn w:val="DefaultParagraphFont"/>
    <w:link w:val="BodyText"/>
    <w:qFormat/>
    <w:rPr>
      <w:rFonts w:asciiTheme="minorHAnsi" w:eastAsiaTheme="minorHAnsi" w:hAnsiTheme="minorHAnsi" w:cstheme="minorBidi"/>
      <w:sz w:val="22"/>
      <w:szCs w:val="22"/>
      <w:lang w:eastAsia="en-US"/>
    </w:rPr>
  </w:style>
  <w:style w:type="paragraph" w:customStyle="1" w:styleId="Bullet1">
    <w:name w:val="Bullet 1"/>
    <w:basedOn w:val="Normal"/>
    <w:qFormat/>
    <w:pPr>
      <w:numPr>
        <w:numId w:val="7"/>
      </w:numPr>
      <w:spacing w:after="120"/>
      <w:ind w:left="992" w:hanging="425"/>
    </w:pPr>
    <w:rPr>
      <w:color w:val="000000" w:themeColor="text1"/>
      <w:sz w:val="22"/>
    </w:rPr>
  </w:style>
  <w:style w:type="paragraph" w:customStyle="1" w:styleId="Bullet1text">
    <w:name w:val="Bullet 1 text"/>
    <w:basedOn w:val="Normal"/>
    <w:qFormat/>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pPr>
      <w:numPr>
        <w:numId w:val="8"/>
      </w:numPr>
      <w:spacing w:after="120"/>
      <w:ind w:left="1276" w:hanging="425"/>
    </w:pPr>
    <w:rPr>
      <w:color w:val="000000" w:themeColor="text1"/>
      <w:sz w:val="22"/>
    </w:rPr>
  </w:style>
  <w:style w:type="paragraph" w:customStyle="1" w:styleId="Bullet2text">
    <w:name w:val="Bullet 2 text"/>
    <w:basedOn w:val="Normal"/>
    <w:qFormat/>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pPr>
      <w:numPr>
        <w:numId w:val="9"/>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qFormat/>
    <w:pPr>
      <w:numPr>
        <w:numId w:val="10"/>
      </w:numPr>
      <w:spacing w:before="120" w:after="120"/>
      <w:jc w:val="center"/>
    </w:pPr>
    <w:rPr>
      <w:i/>
      <w:szCs w:val="20"/>
    </w:rPr>
  </w:style>
  <w:style w:type="character" w:customStyle="1" w:styleId="FooterChar">
    <w:name w:val="Footer Char"/>
    <w:basedOn w:val="DefaultParagraphFont"/>
    <w:link w:val="Footer"/>
    <w:qFormat/>
    <w:rPr>
      <w:rFonts w:asciiTheme="minorHAnsi" w:eastAsiaTheme="minorHAnsi" w:hAnsiTheme="minorHAnsi" w:cstheme="minorBidi"/>
      <w:szCs w:val="22"/>
      <w:lang w:eastAsia="en-US"/>
    </w:rPr>
  </w:style>
  <w:style w:type="character" w:customStyle="1" w:styleId="HeaderChar">
    <w:name w:val="Header Char"/>
    <w:basedOn w:val="DefaultParagraphFont"/>
    <w:link w:val="Header"/>
    <w:qFormat/>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qFormat/>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qFormat/>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i/>
      <w:iCs/>
      <w:color w:val="244061" w:themeColor="accent1" w:themeShade="80"/>
      <w:sz w:val="18"/>
      <w:szCs w:val="22"/>
      <w:lang w:eastAsia="en-US"/>
    </w:rPr>
  </w:style>
  <w:style w:type="character" w:customStyle="1" w:styleId="Heading7Char">
    <w:name w:val="Heading 7 Char"/>
    <w:basedOn w:val="DefaultParagraphFont"/>
    <w:link w:val="Heading7"/>
    <w:qFormat/>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qFormat/>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qFormat/>
    <w:rPr>
      <w:rFonts w:asciiTheme="majorHAnsi" w:eastAsiaTheme="majorEastAsia" w:hAnsiTheme="majorHAnsi" w:cstheme="majorBidi"/>
      <w:i/>
      <w:iCs/>
      <w:color w:val="404040" w:themeColor="text1" w:themeTint="BF"/>
      <w:lang w:eastAsia="en-US"/>
    </w:rPr>
  </w:style>
  <w:style w:type="paragraph" w:customStyle="1" w:styleId="List1">
    <w:name w:val="List 1"/>
    <w:basedOn w:val="Normal"/>
    <w:qFormat/>
    <w:pPr>
      <w:numPr>
        <w:numId w:val="11"/>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qFormat/>
    <w:pPr>
      <w:widowControl w:val="0"/>
      <w:numPr>
        <w:ilvl w:val="2"/>
        <w:numId w:val="11"/>
      </w:numPr>
      <w:autoSpaceDE w:val="0"/>
      <w:autoSpaceDN w:val="0"/>
      <w:adjustRightInd w:val="0"/>
      <w:spacing w:after="120"/>
      <w:jc w:val="both"/>
    </w:pPr>
    <w:rPr>
      <w:rFonts w:cs="Arial"/>
      <w:sz w:val="20"/>
      <w:szCs w:val="20"/>
    </w:rPr>
  </w:style>
  <w:style w:type="paragraph" w:customStyle="1" w:styleId="List1indent2text">
    <w:name w:val="List 1 indent 2 text"/>
    <w:basedOn w:val="Normal"/>
    <w:qFormat/>
    <w:pPr>
      <w:spacing w:after="60"/>
      <w:ind w:left="1701"/>
      <w:jc w:val="both"/>
    </w:pPr>
    <w:rPr>
      <w:rFonts w:cs="Arial"/>
      <w:sz w:val="20"/>
    </w:rPr>
  </w:style>
  <w:style w:type="paragraph" w:customStyle="1" w:styleId="List1indenttext">
    <w:name w:val="List 1 indent text"/>
    <w:basedOn w:val="Normal"/>
    <w:qFormat/>
    <w:pPr>
      <w:spacing w:after="120"/>
      <w:ind w:left="1134"/>
      <w:jc w:val="both"/>
    </w:pPr>
    <w:rPr>
      <w:szCs w:val="20"/>
    </w:rPr>
  </w:style>
  <w:style w:type="paragraph" w:customStyle="1" w:styleId="List1text">
    <w:name w:val="List 1 text"/>
    <w:basedOn w:val="Normal"/>
    <w:qFormat/>
    <w:pPr>
      <w:spacing w:after="120" w:line="240" w:lineRule="auto"/>
      <w:ind w:left="567"/>
      <w:jc w:val="both"/>
    </w:pPr>
    <w:rPr>
      <w:rFonts w:eastAsia="Times New Roman" w:cs="Times New Roman"/>
      <w:sz w:val="22"/>
      <w:szCs w:val="20"/>
      <w:lang w:eastAsia="en-GB"/>
    </w:rPr>
  </w:style>
  <w:style w:type="paragraph" w:customStyle="1" w:styleId="Table">
    <w:name w:val="Table_#"/>
    <w:basedOn w:val="Normal"/>
    <w:next w:val="Normal"/>
    <w:qFormat/>
    <w:pPr>
      <w:numPr>
        <w:numId w:val="12"/>
      </w:numPr>
      <w:spacing w:before="120" w:after="120"/>
      <w:jc w:val="center"/>
    </w:pPr>
    <w:rPr>
      <w:i/>
      <w:szCs w:val="20"/>
    </w:rPr>
  </w:style>
  <w:style w:type="character" w:customStyle="1" w:styleId="BodyTextIndentChar">
    <w:name w:val="Body Text Indent Char"/>
    <w:link w:val="BodyTextIndent"/>
    <w:qFormat/>
    <w:rPr>
      <w:rFonts w:ascii="Arial" w:hAnsi="Arial" w:cs="Times New Roman"/>
      <w:szCs w:val="24"/>
    </w:rPr>
  </w:style>
  <w:style w:type="character" w:customStyle="1" w:styleId="BodyTextIndent2Char">
    <w:name w:val="Body Text Indent 2 Char"/>
    <w:link w:val="BodyTextIndent2"/>
    <w:qFormat/>
    <w:rPr>
      <w:rFonts w:ascii="Arial" w:hAnsi="Arial" w:cs="Times New Roman"/>
      <w:szCs w:val="24"/>
      <w:lang w:eastAsia="de-DE"/>
    </w:rPr>
  </w:style>
  <w:style w:type="character" w:customStyle="1" w:styleId="FootnoteTextChar">
    <w:name w:val="Footnote Text Char"/>
    <w:basedOn w:val="DefaultParagraphFont"/>
    <w:link w:val="FootnoteText"/>
    <w:uiPriority w:val="99"/>
    <w:qFormat/>
    <w:rPr>
      <w:rFonts w:asciiTheme="minorHAnsi" w:eastAsiaTheme="minorHAnsi" w:hAnsiTheme="minorHAnsi" w:cstheme="minorBidi"/>
      <w:sz w:val="18"/>
      <w:szCs w:val="24"/>
      <w:vertAlign w:val="superscript"/>
      <w:lang w:eastAsia="en-US"/>
    </w:rPr>
  </w:style>
  <w:style w:type="character" w:customStyle="1" w:styleId="SubtitleChar">
    <w:name w:val="Subtitle Char"/>
    <w:link w:val="Subtitle"/>
    <w:qFormat/>
    <w:rPr>
      <w:rFonts w:ascii="Arial" w:hAnsi="Arial" w:cs="Arial"/>
      <w:szCs w:val="24"/>
    </w:rPr>
  </w:style>
  <w:style w:type="character" w:customStyle="1" w:styleId="TitleChar">
    <w:name w:val="Title Char"/>
    <w:basedOn w:val="DefaultParagraphFont"/>
    <w:link w:val="Title"/>
    <w:qFormat/>
    <w:rPr>
      <w:rFonts w:ascii="Arial Bold" w:eastAsia="Times New Roman" w:hAnsi="Arial Bold" w:cs="Arial"/>
      <w:b/>
      <w:bCs/>
      <w:caps/>
      <w:color w:val="00558C"/>
      <w:kern w:val="28"/>
      <w:sz w:val="28"/>
      <w:szCs w:val="32"/>
    </w:rPr>
  </w:style>
  <w:style w:type="paragraph" w:customStyle="1" w:styleId="List1indent1">
    <w:name w:val="List 1 indent 1"/>
    <w:basedOn w:val="Normal"/>
    <w:qFormat/>
    <w:pPr>
      <w:numPr>
        <w:ilvl w:val="1"/>
        <w:numId w:val="11"/>
      </w:numPr>
      <w:spacing w:after="120"/>
      <w:jc w:val="both"/>
    </w:pPr>
    <w:rPr>
      <w:rFonts w:cs="Arial"/>
    </w:rPr>
  </w:style>
  <w:style w:type="paragraph" w:customStyle="1" w:styleId="List1indent1text">
    <w:name w:val="List 1 indent 1 text"/>
    <w:basedOn w:val="Normal"/>
    <w:qFormat/>
    <w:pPr>
      <w:spacing w:after="120"/>
      <w:ind w:left="1134"/>
      <w:jc w:val="both"/>
    </w:pPr>
    <w:rPr>
      <w:rFonts w:cs="Arial"/>
      <w:lang w:eastAsia="fr-FR"/>
    </w:rPr>
  </w:style>
  <w:style w:type="paragraph" w:customStyle="1" w:styleId="References">
    <w:name w:val="References"/>
    <w:basedOn w:val="Normal"/>
    <w:qFormat/>
    <w:pPr>
      <w:tabs>
        <w:tab w:val="left" w:pos="0"/>
      </w:tabs>
      <w:spacing w:after="120"/>
      <w:ind w:left="567" w:hanging="567"/>
    </w:pPr>
    <w:rPr>
      <w:szCs w:val="20"/>
    </w:rPr>
  </w:style>
  <w:style w:type="paragraph" w:customStyle="1" w:styleId="AppendixHeading1">
    <w:name w:val="Appendix Heading 1"/>
    <w:basedOn w:val="Normal"/>
    <w:next w:val="BodyText"/>
    <w:qFormat/>
    <w:pPr>
      <w:numPr>
        <w:numId w:val="13"/>
      </w:numPr>
      <w:spacing w:before="120" w:after="120"/>
    </w:pPr>
    <w:rPr>
      <w:rFonts w:cs="Arial"/>
      <w:b/>
      <w:caps/>
      <w:sz w:val="24"/>
    </w:rPr>
  </w:style>
  <w:style w:type="paragraph" w:customStyle="1" w:styleId="AppendixHeading2">
    <w:name w:val="Appendix Heading 2"/>
    <w:basedOn w:val="Normal"/>
    <w:next w:val="BodyText"/>
    <w:qFormat/>
    <w:pPr>
      <w:numPr>
        <w:ilvl w:val="1"/>
        <w:numId w:val="13"/>
      </w:numPr>
      <w:spacing w:before="120" w:after="120"/>
    </w:pPr>
    <w:rPr>
      <w:rFonts w:cs="Arial"/>
      <w:b/>
    </w:rPr>
  </w:style>
  <w:style w:type="paragraph" w:customStyle="1" w:styleId="AppendixHeading3">
    <w:name w:val="Appendix Heading 3"/>
    <w:basedOn w:val="Normal"/>
    <w:next w:val="Normal"/>
    <w:qFormat/>
    <w:pPr>
      <w:numPr>
        <w:ilvl w:val="2"/>
        <w:numId w:val="13"/>
      </w:numPr>
      <w:spacing w:before="120" w:after="120"/>
    </w:pPr>
    <w:rPr>
      <w:rFonts w:cs="Arial"/>
    </w:rPr>
  </w:style>
  <w:style w:type="paragraph" w:customStyle="1" w:styleId="AppendixHeading4">
    <w:name w:val="Appendix Heading 4"/>
    <w:basedOn w:val="Normal"/>
    <w:next w:val="BodyText"/>
    <w:qFormat/>
    <w:pPr>
      <w:numPr>
        <w:ilvl w:val="3"/>
        <w:numId w:val="13"/>
      </w:numPr>
      <w:spacing w:before="120" w:after="120"/>
    </w:pPr>
    <w:rPr>
      <w:rFonts w:cs="Arial"/>
    </w:rPr>
  </w:style>
  <w:style w:type="paragraph" w:customStyle="1" w:styleId="equation0">
    <w:name w:val="equation"/>
    <w:basedOn w:val="Normal"/>
    <w:next w:val="BodyText"/>
    <w:qFormat/>
    <w:pPr>
      <w:keepNext/>
      <w:tabs>
        <w:tab w:val="left" w:pos="142"/>
      </w:tabs>
      <w:spacing w:after="120"/>
      <w:ind w:left="1276" w:hanging="1276"/>
      <w:jc w:val="right"/>
    </w:pPr>
    <w:rPr>
      <w:rFonts w:eastAsia="Times New Roman" w:cs="Times New Roman"/>
      <w:szCs w:val="24"/>
    </w:rPr>
  </w:style>
  <w:style w:type="paragraph" w:customStyle="1" w:styleId="Appendix">
    <w:name w:val="Appendix"/>
    <w:next w:val="BodyText"/>
    <w:qFormat/>
    <w:pPr>
      <w:numPr>
        <w:numId w:val="14"/>
      </w:numPr>
      <w:spacing w:before="120" w:after="240"/>
    </w:pPr>
    <w:rPr>
      <w:rFonts w:asciiTheme="majorHAnsi" w:eastAsia="Calibri" w:hAnsiTheme="majorHAnsi" w:cs="Calibri"/>
      <w:b/>
      <w:bCs/>
      <w:caps/>
      <w:color w:val="00558C"/>
      <w:sz w:val="28"/>
      <w:szCs w:val="28"/>
      <w:lang w:eastAsia="en-US"/>
    </w:rPr>
  </w:style>
  <w:style w:type="character" w:customStyle="1" w:styleId="BalloonTextChar">
    <w:name w:val="Balloon Text Char"/>
    <w:basedOn w:val="DefaultParagraphFont"/>
    <w:link w:val="BalloonText"/>
    <w:qFormat/>
    <w:rPr>
      <w:rFonts w:ascii="Tahoma" w:eastAsiaTheme="minorHAnsi" w:hAnsi="Tahoma" w:cs="Tahoma"/>
      <w:sz w:val="16"/>
      <w:szCs w:val="16"/>
      <w:lang w:eastAsia="en-US"/>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qFormat/>
    <w:rPr>
      <w:rFonts w:asciiTheme="minorHAnsi" w:eastAsiaTheme="minorHAnsi" w:hAnsiTheme="minorHAnsi" w:cstheme="minorBidi"/>
      <w:sz w:val="24"/>
      <w:szCs w:val="24"/>
      <w:lang w:eastAsia="en-US"/>
    </w:rPr>
  </w:style>
  <w:style w:type="character" w:customStyle="1" w:styleId="CommentSubjectChar">
    <w:name w:val="Comment Subject Char"/>
    <w:basedOn w:val="CommentTextChar"/>
    <w:link w:val="CommentSubject"/>
    <w:qFormat/>
    <w:rPr>
      <w:rFonts w:asciiTheme="minorHAnsi" w:eastAsiaTheme="minorHAnsi" w:hAnsiTheme="minorHAnsi" w:cstheme="minorBidi"/>
      <w:b/>
      <w:bCs/>
      <w:sz w:val="24"/>
      <w:szCs w:val="24"/>
      <w:lang w:eastAsia="en-US"/>
    </w:rPr>
  </w:style>
  <w:style w:type="paragraph" w:customStyle="1" w:styleId="Documenttype">
    <w:name w:val="Document type"/>
    <w:basedOn w:val="Normal"/>
    <w:qFormat/>
    <w:pPr>
      <w:spacing w:line="500" w:lineRule="exact"/>
      <w:ind w:left="907" w:right="907"/>
    </w:pPr>
    <w:rPr>
      <w:b/>
      <w:caps/>
      <w:color w:val="FFFFFF" w:themeColor="background1"/>
      <w:sz w:val="50"/>
      <w:szCs w:val="50"/>
    </w:rPr>
  </w:style>
  <w:style w:type="paragraph" w:customStyle="1" w:styleId="Heading1separationline">
    <w:name w:val="Heading 1 separation line"/>
    <w:basedOn w:val="Normal"/>
    <w:next w:val="BodyText"/>
    <w:qFormat/>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qFormat/>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qFormat/>
    <w:pPr>
      <w:spacing w:line="180" w:lineRule="exact"/>
      <w:jc w:val="right"/>
    </w:pPr>
    <w:rPr>
      <w:color w:val="4F81BD" w:themeColor="accent1"/>
    </w:rPr>
  </w:style>
  <w:style w:type="paragraph" w:customStyle="1" w:styleId="Editionnumber">
    <w:name w:val="Edition number"/>
    <w:basedOn w:val="Normal"/>
    <w:qFormat/>
    <w:rPr>
      <w:b/>
      <w:color w:val="4F81BD" w:themeColor="accent1"/>
      <w:sz w:val="50"/>
      <w:szCs w:val="50"/>
    </w:rPr>
  </w:style>
  <w:style w:type="paragraph" w:customStyle="1" w:styleId="Editionnumber-footer">
    <w:name w:val="Edition number - footer"/>
    <w:basedOn w:val="Footer"/>
    <w:next w:val="NoSpacing"/>
    <w:qFormat/>
    <w:pPr>
      <w:framePr w:hSpace="142" w:wrap="around" w:hAnchor="margin" w:xAlign="center" w:yAlign="bottom"/>
      <w:spacing w:before="40" w:line="180" w:lineRule="exact"/>
    </w:pPr>
    <w:rPr>
      <w:b/>
      <w:color w:val="4F81BD" w:themeColor="accent1"/>
      <w:sz w:val="15"/>
      <w:szCs w:val="15"/>
    </w:rPr>
  </w:style>
  <w:style w:type="paragraph" w:styleId="NoSpacing">
    <w:name w:val="No Spacing"/>
    <w:uiPriority w:val="1"/>
    <w:qFormat/>
    <w:rPr>
      <w:rFonts w:asciiTheme="minorHAnsi" w:eastAsiaTheme="minorHAnsi" w:hAnsiTheme="minorHAnsi" w:cstheme="minorBidi"/>
      <w:sz w:val="18"/>
      <w:szCs w:val="22"/>
      <w:lang w:eastAsia="en-US"/>
    </w:rPr>
  </w:style>
  <w:style w:type="paragraph" w:customStyle="1" w:styleId="Contents">
    <w:name w:val="Contents"/>
    <w:basedOn w:val="Header"/>
    <w:qFormat/>
    <w:pPr>
      <w:pBdr>
        <w:bottom w:val="single" w:sz="8" w:space="12" w:color="4F81BD" w:themeColor="accent1"/>
      </w:pBdr>
      <w:spacing w:before="100" w:line="560" w:lineRule="exact"/>
    </w:pPr>
    <w:rPr>
      <w:b/>
      <w:caps/>
      <w:color w:val="C0504D" w:themeColor="accent2"/>
      <w:sz w:val="56"/>
      <w:szCs w:val="56"/>
    </w:rPr>
  </w:style>
  <w:style w:type="paragraph" w:customStyle="1" w:styleId="Tabletext">
    <w:name w:val="Table text"/>
    <w:basedOn w:val="Normal"/>
    <w:qFormat/>
    <w:pPr>
      <w:spacing w:before="60" w:after="60"/>
      <w:ind w:left="113" w:right="113"/>
    </w:pPr>
    <w:rPr>
      <w:color w:val="000000" w:themeColor="text1"/>
      <w:sz w:val="20"/>
    </w:rPr>
  </w:style>
  <w:style w:type="paragraph" w:customStyle="1" w:styleId="Doicumentrevisiontabletitle">
    <w:name w:val="Doicument revision table title"/>
    <w:basedOn w:val="Tabletext"/>
    <w:qFormat/>
    <w:rPr>
      <w:b/>
      <w:color w:val="00558C"/>
    </w:rPr>
  </w:style>
  <w:style w:type="paragraph" w:customStyle="1" w:styleId="Listatext">
    <w:name w:val="List a text"/>
    <w:basedOn w:val="Normal"/>
    <w:qFormat/>
    <w:pPr>
      <w:spacing w:after="120"/>
      <w:ind w:left="1134"/>
    </w:pPr>
    <w:rPr>
      <w:sz w:val="22"/>
    </w:rPr>
  </w:style>
  <w:style w:type="character" w:customStyle="1" w:styleId="Bullet2Char">
    <w:name w:val="Bullet 2 Char"/>
    <w:basedOn w:val="DefaultParagraphFont"/>
    <w:link w:val="Bullet2"/>
    <w:qFormat/>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pPr>
      <w:numPr>
        <w:ilvl w:val="3"/>
        <w:numId w:val="14"/>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pPr>
      <w:numPr>
        <w:ilvl w:val="4"/>
      </w:numPr>
    </w:pPr>
    <w:rPr>
      <w:smallCaps w:val="0"/>
      <w:sz w:val="22"/>
    </w:rPr>
  </w:style>
  <w:style w:type="paragraph" w:customStyle="1" w:styleId="AppendixHead5">
    <w:name w:val="Appendix Head 5"/>
    <w:basedOn w:val="AppendixHead4"/>
    <w:next w:val="BodyText"/>
    <w:qFormat/>
    <w:pPr>
      <w:ind w:left="1701" w:hanging="1701"/>
    </w:pPr>
    <w:rPr>
      <w:b w:val="0"/>
    </w:rPr>
  </w:style>
  <w:style w:type="character" w:customStyle="1" w:styleId="AnnexChar">
    <w:name w:val="Annex Char"/>
    <w:basedOn w:val="DefaultParagraphFont"/>
    <w:link w:val="Annex"/>
    <w:qFormat/>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pPr>
      <w:numPr>
        <w:ilvl w:val="2"/>
      </w:numPr>
    </w:pPr>
    <w:rPr>
      <w:caps w:val="0"/>
      <w:smallCaps/>
    </w:rPr>
  </w:style>
  <w:style w:type="paragraph" w:customStyle="1" w:styleId="AnnexHead4">
    <w:name w:val="Annex Head 4"/>
    <w:basedOn w:val="AnnexHead3"/>
    <w:next w:val="BodyText"/>
    <w:qFormat/>
    <w:pPr>
      <w:numPr>
        <w:ilvl w:val="3"/>
      </w:numPr>
    </w:pPr>
    <w:rPr>
      <w:smallCaps w:val="0"/>
      <w:sz w:val="22"/>
    </w:rPr>
  </w:style>
  <w:style w:type="paragraph" w:customStyle="1" w:styleId="AnnexHead5">
    <w:name w:val="Annex Head 5"/>
    <w:basedOn w:val="Normal"/>
    <w:next w:val="BodyText"/>
    <w:qFormat/>
    <w:pPr>
      <w:numPr>
        <w:ilvl w:val="4"/>
        <w:numId w:val="3"/>
      </w:numPr>
      <w:spacing w:before="120" w:after="120" w:line="240" w:lineRule="auto"/>
      <w:ind w:left="1701" w:hanging="1701"/>
    </w:pPr>
    <w:rPr>
      <w:rFonts w:eastAsia="Calibri" w:cs="Calibri"/>
      <w:color w:val="00558C"/>
      <w:sz w:val="22"/>
      <w:lang w:eastAsia="en-GB"/>
    </w:rPr>
  </w:style>
  <w:style w:type="character" w:customStyle="1" w:styleId="BodyTextIndent3Char">
    <w:name w:val="Body Text Indent 3 Char"/>
    <w:basedOn w:val="DefaultParagraphFont"/>
    <w:link w:val="BodyTextIndent3"/>
    <w:semiHidden/>
    <w:qFormat/>
    <w:rPr>
      <w:rFonts w:asciiTheme="minorHAnsi" w:eastAsiaTheme="minorHAnsi" w:hAnsiTheme="minorHAnsi" w:cstheme="minorBidi"/>
      <w:sz w:val="16"/>
      <w:szCs w:val="16"/>
      <w:lang w:eastAsia="en-US"/>
    </w:rPr>
  </w:style>
  <w:style w:type="paragraph" w:customStyle="1" w:styleId="InsetList">
    <w:name w:val="Inset List"/>
    <w:basedOn w:val="Normal"/>
    <w:qFormat/>
    <w:pPr>
      <w:numPr>
        <w:numId w:val="15"/>
      </w:numPr>
      <w:spacing w:after="120"/>
      <w:jc w:val="both"/>
    </w:pPr>
    <w:rPr>
      <w:sz w:val="22"/>
    </w:rPr>
  </w:style>
  <w:style w:type="paragraph" w:customStyle="1" w:styleId="ListofFigures">
    <w:name w:val="List of Figures"/>
    <w:basedOn w:val="Normal"/>
    <w:next w:val="Normal"/>
    <w:qFormat/>
    <w:pPr>
      <w:spacing w:after="240" w:line="480" w:lineRule="atLeast"/>
    </w:pPr>
    <w:rPr>
      <w:b/>
      <w:color w:val="C0504D" w:themeColor="accent2"/>
      <w:sz w:val="40"/>
      <w:szCs w:val="40"/>
    </w:rPr>
  </w:style>
  <w:style w:type="paragraph" w:customStyle="1" w:styleId="Tablecaption">
    <w:name w:val="Table caption"/>
    <w:basedOn w:val="Caption"/>
    <w:next w:val="BodyText"/>
    <w:qFormat/>
    <w:pPr>
      <w:numPr>
        <w:numId w:val="16"/>
      </w:numPr>
      <w:tabs>
        <w:tab w:val="left" w:pos="851"/>
      </w:tabs>
      <w:spacing w:before="240" w:after="240"/>
      <w:jc w:val="center"/>
    </w:pPr>
    <w:rPr>
      <w:b w:val="0"/>
      <w:u w:val="none"/>
    </w:rPr>
  </w:style>
  <w:style w:type="paragraph" w:customStyle="1" w:styleId="Footereditionno">
    <w:name w:val="Footer edition no."/>
    <w:basedOn w:val="Normal"/>
    <w:qFormat/>
    <w:pPr>
      <w:tabs>
        <w:tab w:val="right" w:pos="10206"/>
      </w:tabs>
    </w:pPr>
    <w:rPr>
      <w:b/>
      <w:color w:val="00558C"/>
      <w:sz w:val="15"/>
    </w:rPr>
  </w:style>
  <w:style w:type="paragraph" w:customStyle="1" w:styleId="Lista">
    <w:name w:val="List a"/>
    <w:basedOn w:val="Normal"/>
    <w:qFormat/>
    <w:pPr>
      <w:numPr>
        <w:ilvl w:val="1"/>
        <w:numId w:val="17"/>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pPr>
      <w:numPr>
        <w:ilvl w:val="2"/>
        <w:numId w:val="17"/>
      </w:numPr>
      <w:ind w:left="1701" w:hanging="425"/>
    </w:pPr>
  </w:style>
  <w:style w:type="paragraph" w:customStyle="1" w:styleId="Listitext">
    <w:name w:val="List i text"/>
    <w:basedOn w:val="Normal"/>
    <w:qFormat/>
    <w:pPr>
      <w:ind w:left="2268" w:hanging="567"/>
    </w:pPr>
    <w:rPr>
      <w:sz w:val="20"/>
    </w:rPr>
  </w:style>
  <w:style w:type="character" w:customStyle="1" w:styleId="DocumentMapChar">
    <w:name w:val="Document Map Char"/>
    <w:basedOn w:val="DefaultParagraphFont"/>
    <w:link w:val="DocumentMap"/>
    <w:qFormat/>
    <w:rPr>
      <w:rFonts w:ascii="Tahoma" w:eastAsia="Times New Roman" w:hAnsi="Tahoma"/>
      <w:szCs w:val="24"/>
      <w:shd w:val="clear" w:color="auto" w:fill="000080"/>
      <w:lang w:val="de-DE" w:eastAsia="de-DE"/>
    </w:rPr>
  </w:style>
  <w:style w:type="paragraph" w:customStyle="1" w:styleId="TableofTables">
    <w:name w:val="Table of Tables"/>
    <w:basedOn w:val="TableofFigures"/>
    <w:qFormat/>
    <w:pPr>
      <w:tabs>
        <w:tab w:val="left" w:pos="1134"/>
        <w:tab w:val="right" w:pos="9781"/>
      </w:tabs>
    </w:p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uiPriority w:val="59"/>
    <w:qFormat/>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0">
    <w:name w:val="TOC 标题1"/>
    <w:basedOn w:val="Heading1"/>
    <w:next w:val="Normal"/>
    <w:uiPriority w:val="39"/>
    <w:unhideWhenUsed/>
    <w:qFormat/>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qFormat/>
    <w:pPr>
      <w:numPr>
        <w:numId w:val="18"/>
      </w:numPr>
      <w:spacing w:before="120"/>
      <w:contextualSpacing/>
    </w:pPr>
    <w:rPr>
      <w:sz w:val="20"/>
    </w:rPr>
  </w:style>
  <w:style w:type="paragraph" w:customStyle="1" w:styleId="Textedesaisie">
    <w:name w:val="Texte de saisie"/>
    <w:basedOn w:val="Normal"/>
    <w:link w:val="TextedesaisieCar"/>
    <w:qFormat/>
    <w:rPr>
      <w:color w:val="000000" w:themeColor="text1"/>
      <w:sz w:val="22"/>
    </w:rPr>
  </w:style>
  <w:style w:type="character" w:customStyle="1" w:styleId="TextedesaisieCar">
    <w:name w:val="Texte de saisie Car"/>
    <w:basedOn w:val="DefaultParagraphFont"/>
    <w:link w:val="Textedesaisie"/>
    <w:qFormat/>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pPr>
      <w:numPr>
        <w:numId w:val="19"/>
      </w:numPr>
      <w:jc w:val="center"/>
    </w:pPr>
    <w:rPr>
      <w:i/>
      <w:color w:val="00558C"/>
      <w:lang w:eastAsia="en-GB"/>
    </w:rPr>
  </w:style>
  <w:style w:type="paragraph" w:customStyle="1" w:styleId="Figurecaption">
    <w:name w:val="Figure caption"/>
    <w:basedOn w:val="Caption"/>
    <w:next w:val="BodyText"/>
    <w:qFormat/>
    <w:pPr>
      <w:numPr>
        <w:numId w:val="20"/>
      </w:numPr>
      <w:spacing w:before="240" w:after="240"/>
      <w:jc w:val="center"/>
    </w:pPr>
    <w:rPr>
      <w:b w:val="0"/>
      <w:u w:val="none"/>
    </w:rPr>
  </w:style>
  <w:style w:type="paragraph" w:customStyle="1" w:styleId="Abbreviations">
    <w:name w:val="Abbreviations"/>
    <w:basedOn w:val="Normal"/>
    <w:qFormat/>
    <w:pPr>
      <w:spacing w:after="60"/>
      <w:ind w:left="1418" w:hanging="1418"/>
    </w:pPr>
    <w:rPr>
      <w:sz w:val="22"/>
    </w:rPr>
  </w:style>
  <w:style w:type="paragraph" w:customStyle="1" w:styleId="Tableheading">
    <w:name w:val="Table heading"/>
    <w:basedOn w:val="Normal"/>
    <w:qFormat/>
    <w:pPr>
      <w:spacing w:before="60" w:after="60"/>
      <w:ind w:left="113" w:right="113"/>
      <w:jc w:val="center"/>
    </w:pPr>
    <w:rPr>
      <w:b/>
      <w:color w:val="00558C"/>
      <w:sz w:val="20"/>
      <w:lang w:val="en-US"/>
    </w:rPr>
  </w:style>
  <w:style w:type="paragraph" w:customStyle="1" w:styleId="Footerlandscape">
    <w:name w:val="Footer landscape"/>
    <w:basedOn w:val="Normal"/>
    <w:qFormat/>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qFormat/>
    <w:rPr>
      <w:caps/>
      <w:color w:val="00558C"/>
      <w:sz w:val="50"/>
    </w:rPr>
  </w:style>
  <w:style w:type="paragraph" w:customStyle="1" w:styleId="Documentdate">
    <w:name w:val="Document date"/>
    <w:basedOn w:val="Normal"/>
    <w:qFormat/>
    <w:rPr>
      <w:b/>
      <w:color w:val="00558C"/>
      <w:sz w:val="28"/>
    </w:rPr>
  </w:style>
  <w:style w:type="paragraph" w:customStyle="1" w:styleId="Footerportrait">
    <w:name w:val="Footer portrait"/>
    <w:basedOn w:val="Normal"/>
    <w:qFormat/>
    <w:pPr>
      <w:pBdr>
        <w:top w:val="single" w:sz="4" w:space="1" w:color="auto"/>
      </w:pBdr>
      <w:tabs>
        <w:tab w:val="right" w:pos="10206"/>
      </w:tabs>
    </w:pPr>
    <w:rPr>
      <w:b/>
      <w:color w:val="00558C"/>
      <w:sz w:val="15"/>
      <w:lang w:val="en-US"/>
    </w:rPr>
  </w:style>
  <w:style w:type="paragraph" w:customStyle="1" w:styleId="Documentname">
    <w:name w:val="Document name"/>
    <w:basedOn w:val="Documenttype"/>
    <w:qFormat/>
    <w:pPr>
      <w:ind w:left="0" w:right="0"/>
    </w:pPr>
    <w:rPr>
      <w:b w:val="0"/>
      <w:color w:val="00558C"/>
    </w:rPr>
  </w:style>
  <w:style w:type="character" w:styleId="PlaceholderText">
    <w:name w:val="Placeholder Text"/>
    <w:basedOn w:val="DefaultParagraphFont"/>
    <w:uiPriority w:val="99"/>
    <w:semiHidden/>
    <w:qFormat/>
    <w:rPr>
      <w:color w:val="808080"/>
    </w:rPr>
  </w:style>
  <w:style w:type="paragraph" w:customStyle="1" w:styleId="Style1">
    <w:name w:val="Style1"/>
    <w:basedOn w:val="Tableheading"/>
    <w:qFormat/>
  </w:style>
  <w:style w:type="paragraph" w:customStyle="1" w:styleId="Style2">
    <w:name w:val="Style2"/>
    <w:basedOn w:val="TOC3"/>
    <w:qFormat/>
    <w:pPr>
      <w:tabs>
        <w:tab w:val="left" w:pos="1985"/>
        <w:tab w:val="right" w:pos="10195"/>
      </w:tabs>
    </w:pPr>
    <w:rPr>
      <w:rFonts w:eastAsiaTheme="minorEastAsia"/>
      <w:sz w:val="24"/>
      <w:szCs w:val="24"/>
      <w:lang w:val="en-US"/>
    </w:rPr>
  </w:style>
  <w:style w:type="paragraph" w:customStyle="1" w:styleId="Headingseparationline-landscape">
    <w:name w:val="Heading separation line - landscape"/>
    <w:basedOn w:val="Heading1separationline"/>
    <w:qFormat/>
    <w:pPr>
      <w:ind w:right="14317"/>
    </w:pPr>
  </w:style>
  <w:style w:type="paragraph" w:customStyle="1" w:styleId="1">
    <w:name w:val="修订1"/>
    <w:hidden/>
    <w:uiPriority w:val="99"/>
    <w:semiHidden/>
    <w:qFormat/>
    <w:rPr>
      <w:rFonts w:asciiTheme="minorHAnsi" w:eastAsiaTheme="minorHAnsi" w:hAnsiTheme="minorHAnsi" w:cstheme="minorBidi"/>
      <w:sz w:val="18"/>
      <w:szCs w:val="22"/>
      <w:lang w:eastAsia="en-US"/>
    </w:rPr>
  </w:style>
  <w:style w:type="paragraph" w:customStyle="1" w:styleId="Referencetext">
    <w:name w:val="Reference text"/>
    <w:basedOn w:val="Normal"/>
    <w:qFormat/>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qFormat/>
    <w:pPr>
      <w:keepNext w:val="0"/>
      <w:suppressLineNumbers/>
      <w:tabs>
        <w:tab w:val="left"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qFormat/>
    <w:rPr>
      <w:b/>
      <w:color w:val="00558C"/>
      <w:sz w:val="28"/>
    </w:rPr>
  </w:style>
  <w:style w:type="character" w:customStyle="1" w:styleId="MRNChar">
    <w:name w:val="MRN Char"/>
    <w:basedOn w:val="DefaultParagraphFont"/>
    <w:link w:val="MRN"/>
    <w:qFormat/>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qFormat/>
    <w:rPr>
      <w:i/>
    </w:rPr>
  </w:style>
  <w:style w:type="character" w:customStyle="1" w:styleId="RevokesChar">
    <w:name w:val="Revokes Char"/>
    <w:basedOn w:val="DefaultParagraphFont"/>
    <w:link w:val="Revokes"/>
    <w:qFormat/>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pPr>
      <w:numPr>
        <w:numId w:val="21"/>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pPr>
      <w:numPr>
        <w:numId w:val="22"/>
      </w:numPr>
      <w:spacing w:before="60"/>
      <w:jc w:val="right"/>
    </w:pPr>
  </w:style>
  <w:style w:type="character" w:customStyle="1" w:styleId="EquationChar">
    <w:name w:val="Equation Char"/>
    <w:basedOn w:val="BodyTextChar"/>
    <w:link w:val="Equation"/>
    <w:qFormat/>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pPr>
      <w:numPr>
        <w:numId w:val="23"/>
      </w:numPr>
      <w:spacing w:before="60"/>
    </w:pPr>
  </w:style>
  <w:style w:type="character" w:customStyle="1" w:styleId="FurtherreadingChar">
    <w:name w:val="Further reading Char"/>
    <w:basedOn w:val="BodyTextChar"/>
    <w:link w:val="Furtherreading"/>
    <w:qFormat/>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qFormat/>
    <w:pPr>
      <w:spacing w:before="60" w:after="60"/>
      <w:ind w:left="113" w:right="113"/>
    </w:pPr>
    <w:rPr>
      <w:b/>
      <w:color w:val="00558C"/>
      <w:sz w:val="20"/>
    </w:rPr>
  </w:style>
  <w:style w:type="paragraph" w:customStyle="1" w:styleId="AnnexFigureCaption">
    <w:name w:val="Annex Figure Caption"/>
    <w:basedOn w:val="BodyText"/>
    <w:link w:val="AnnexFigureCaptionChar"/>
    <w:qFormat/>
    <w:pPr>
      <w:numPr>
        <w:numId w:val="24"/>
      </w:numPr>
      <w:jc w:val="center"/>
    </w:pPr>
    <w:rPr>
      <w:i/>
      <w:color w:val="00558C"/>
    </w:rPr>
  </w:style>
  <w:style w:type="character" w:customStyle="1" w:styleId="AnnexFigureCaptionChar">
    <w:name w:val="Annex Figure Caption Char"/>
    <w:basedOn w:val="BodyTextChar"/>
    <w:link w:val="AnnexFigureCaption"/>
    <w:qFormat/>
    <w:rPr>
      <w:rFonts w:asciiTheme="minorHAnsi" w:eastAsiaTheme="minorHAnsi" w:hAnsiTheme="minorHAnsi" w:cstheme="minorBidi"/>
      <w:i/>
      <w:color w:val="00558C"/>
      <w:sz w:val="22"/>
      <w:szCs w:val="22"/>
      <w:lang w:eastAsia="en-US"/>
    </w:rPr>
  </w:style>
  <w:style w:type="paragraph" w:customStyle="1" w:styleId="AppendixHead1">
    <w:name w:val="Appendix Head 1"/>
    <w:basedOn w:val="Normal"/>
    <w:next w:val="Heading1separationline"/>
    <w:qFormat/>
    <w:pPr>
      <w:numPr>
        <w:ilvl w:val="1"/>
        <w:numId w:val="14"/>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qFormat/>
    <w:pPr>
      <w:ind w:left="425" w:right="709"/>
    </w:pPr>
    <w:rPr>
      <w:i/>
    </w:rPr>
  </w:style>
  <w:style w:type="character" w:customStyle="1" w:styleId="EmphasisParagraphChar">
    <w:name w:val="Emphasis Paragraph Char"/>
    <w:basedOn w:val="BodyTextChar"/>
    <w:link w:val="EmphasisParagraph"/>
    <w:qFormat/>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pPr>
      <w:suppressAutoHyphens/>
      <w:ind w:left="567" w:right="707"/>
    </w:pPr>
  </w:style>
  <w:style w:type="character" w:customStyle="1" w:styleId="QuotationparagraphChar">
    <w:name w:val="Quotation paragraph Char"/>
    <w:basedOn w:val="BodyTextChar"/>
    <w:link w:val="Quotationparagraph"/>
    <w:qFormat/>
    <w:rPr>
      <w:rFonts w:asciiTheme="minorHAnsi" w:eastAsiaTheme="minorHAnsi" w:hAnsiTheme="minorHAnsi" w:cstheme="minorBidi"/>
      <w:sz w:val="22"/>
      <w:szCs w:val="22"/>
      <w:lang w:eastAsia="en-US"/>
    </w:rPr>
  </w:style>
  <w:style w:type="paragraph" w:customStyle="1" w:styleId="2">
    <w:name w:val="修订2"/>
    <w:hidden/>
    <w:uiPriority w:val="99"/>
    <w:unhideWhenUsed/>
    <w:qFormat/>
    <w:rPr>
      <w:rFonts w:asciiTheme="minorHAnsi" w:eastAsiaTheme="minorHAnsi" w:hAnsiTheme="minorHAnsi" w:cstheme="minorBidi"/>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3668B6-55B9-4223-8E57-9F6971AD8F3C}">
  <ds:schemaRefs>
    <ds:schemaRef ds:uri="http://schemas.openxmlformats.org/officeDocument/2006/bibliography"/>
  </ds:schemaRefs>
</ds:datastoreItem>
</file>

<file path=customXml/itemProps2.xml><?xml version="1.0" encoding="utf-8"?>
<ds:datastoreItem xmlns:ds="http://schemas.openxmlformats.org/officeDocument/2006/customXml" ds:itemID="{B4285932-F0D9-4E49-845D-FCE76AC8ECD7}">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C886295A-D5EA-41B5-816B-03417154D20C}">
  <ds:schemaRefs>
    <ds:schemaRef ds:uri="http://schemas.microsoft.com/sharepoint/v3/contenttype/forms"/>
  </ds:schemaRefs>
</ds:datastoreItem>
</file>

<file path=customXml/itemProps4.xml><?xml version="1.0" encoding="utf-8"?>
<ds:datastoreItem xmlns:ds="http://schemas.openxmlformats.org/officeDocument/2006/customXml" ds:itemID="{ED738E36-8D33-4287-B927-21DBC7167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1106</Words>
  <Characters>6552</Characters>
  <Application>Microsoft Office Word</Application>
  <DocSecurity>0</DocSecurity>
  <Lines>114</Lines>
  <Paragraphs>53</Paragraphs>
  <ScaleCrop>false</ScaleCrop>
  <Company>P R C</Company>
  <LinksUpToDate>false</LinksUpToDate>
  <CharactersWithSpaces>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95</cp:revision>
  <dcterms:created xsi:type="dcterms:W3CDTF">2021-08-29T07:13:00Z</dcterms:created>
  <dcterms:modified xsi:type="dcterms:W3CDTF">2026-03-24T17:13:00Z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KSOTemplateDocerSaveRecord">
    <vt:lpwstr>eyJoZGlkIjoiOTA3YzI1YzBlMGVjNmNmNTFiM2EwNGU3OGUzNDE0NDkiLCJ1c2VySWQiOiIyNDM4NDM0MDAifQ==</vt:lpwstr>
  </property>
  <property fmtid="{D5CDD505-2E9C-101B-9397-08002B2CF9AE}" pid="4" name="KSOProductBuildVer">
    <vt:lpwstr>2052-12.1.0.25225</vt:lpwstr>
  </property>
  <property fmtid="{D5CDD505-2E9C-101B-9397-08002B2CF9AE}" pid="5" name="ICV">
    <vt:lpwstr>C26E101071374951824D23D0F298CB61_13</vt:lpwstr>
  </property>
  <property fmtid="{D5CDD505-2E9C-101B-9397-08002B2CF9AE}" pid="6" name="MediaServiceImageTags">
    <vt:lpwstr/>
  </property>
  <property fmtid="{D5CDD505-2E9C-101B-9397-08002B2CF9AE}" pid="8" name="docLang">
    <vt:lpwstr>en</vt:lpwstr>
  </property>
</Properties>
</file>